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8E51C" w14:textId="77777777" w:rsidR="00B23585" w:rsidRPr="00F357AC" w:rsidRDefault="00B23585" w:rsidP="00B23585">
      <w:pPr>
        <w:ind w:right="50"/>
        <w:jc w:val="center"/>
        <w:rPr>
          <w:rFonts w:ascii="Arial Narrow" w:hAnsi="Arial Narrow" w:cs="Arial"/>
          <w:spacing w:val="-2"/>
          <w:sz w:val="24"/>
          <w:szCs w:val="24"/>
          <w:lang w:val="es-CO"/>
        </w:rPr>
      </w:pPr>
      <w:r w:rsidRPr="00C94895">
        <w:rPr>
          <w:rFonts w:ascii="Arial Narrow" w:hAnsi="Arial Narrow" w:cs="Arial"/>
          <w:sz w:val="24"/>
          <w:szCs w:val="24"/>
          <w:lang w:val="es-ES"/>
        </w:rPr>
        <w:t xml:space="preserve">Por la cual se </w:t>
      </w:r>
      <w:r>
        <w:rPr>
          <w:rFonts w:ascii="Arial Narrow" w:hAnsi="Arial Narrow" w:cs="Arial"/>
          <w:sz w:val="24"/>
          <w:szCs w:val="24"/>
          <w:lang w:val="es-ES"/>
        </w:rPr>
        <w:t xml:space="preserve">prorroga el término establecido en la Resolución número </w:t>
      </w:r>
      <w:r w:rsidR="006B6F42" w:rsidRPr="006B6F42">
        <w:rPr>
          <w:rFonts w:ascii="Arial Narrow" w:hAnsi="Arial Narrow" w:cs="Arial"/>
          <w:sz w:val="24"/>
          <w:szCs w:val="24"/>
          <w:lang w:val="es-ES"/>
        </w:rPr>
        <w:t>6257 del 2 de abril de 2020</w:t>
      </w:r>
      <w:r>
        <w:rPr>
          <w:rFonts w:ascii="Arial Narrow" w:hAnsi="Arial Narrow" w:cs="Arial"/>
          <w:sz w:val="24"/>
          <w:szCs w:val="24"/>
          <w:lang w:val="es-ES"/>
        </w:rPr>
        <w:t xml:space="preserve"> para el pago</w:t>
      </w:r>
      <w:r w:rsidRPr="00C94895">
        <w:rPr>
          <w:rFonts w:ascii="Arial Narrow" w:hAnsi="Arial Narrow" w:cs="Arial"/>
          <w:sz w:val="24"/>
          <w:szCs w:val="24"/>
          <w:lang w:val="es-ES"/>
        </w:rPr>
        <w:t xml:space="preserve"> de</w:t>
      </w:r>
      <w:r>
        <w:rPr>
          <w:rFonts w:ascii="Arial Narrow" w:hAnsi="Arial Narrow" w:cs="Arial"/>
          <w:sz w:val="24"/>
          <w:szCs w:val="24"/>
          <w:lang w:val="es-ES"/>
        </w:rPr>
        <w:t xml:space="preserve"> la</w:t>
      </w:r>
      <w:r w:rsidRPr="00C94895">
        <w:rPr>
          <w:rFonts w:ascii="Arial Narrow" w:hAnsi="Arial Narrow" w:cs="Arial"/>
          <w:sz w:val="24"/>
          <w:szCs w:val="24"/>
          <w:lang w:val="es-ES"/>
        </w:rPr>
        <w:t xml:space="preserve"> Contribución Especial de Vigilancia </w:t>
      </w:r>
      <w:r>
        <w:rPr>
          <w:rFonts w:ascii="Arial Narrow" w:hAnsi="Arial Narrow" w:cs="Arial"/>
          <w:sz w:val="24"/>
          <w:szCs w:val="24"/>
          <w:lang w:val="es-ES"/>
        </w:rPr>
        <w:t xml:space="preserve">de </w:t>
      </w:r>
      <w:r w:rsidRPr="00C94895">
        <w:rPr>
          <w:rFonts w:ascii="Arial Narrow" w:hAnsi="Arial Narrow" w:cs="Arial"/>
          <w:sz w:val="24"/>
          <w:szCs w:val="24"/>
          <w:lang w:val="es-ES"/>
        </w:rPr>
        <w:t>la vigencia fiscal 2020</w:t>
      </w:r>
      <w:r w:rsidRPr="00C94895">
        <w:rPr>
          <w:rFonts w:ascii="Arial Narrow" w:hAnsi="Arial Narrow" w:cs="Arial"/>
          <w:sz w:val="24"/>
          <w:szCs w:val="24"/>
          <w:lang w:val="es-CO"/>
        </w:rPr>
        <w:t>.</w:t>
      </w:r>
      <w:bookmarkStart w:id="0" w:name="_GoBack"/>
      <w:bookmarkEnd w:id="0"/>
    </w:p>
    <w:p w14:paraId="0C0A4854" w14:textId="77777777" w:rsidR="00B23585" w:rsidRPr="00C94895" w:rsidRDefault="00B23585" w:rsidP="00B23585">
      <w:pPr>
        <w:ind w:right="50"/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01857A3D" w14:textId="77777777" w:rsidR="00B23585" w:rsidRPr="00C94895" w:rsidRDefault="00B23585" w:rsidP="00B23585">
      <w:pPr>
        <w:ind w:right="50"/>
        <w:jc w:val="center"/>
        <w:rPr>
          <w:rFonts w:ascii="Arial Narrow" w:hAnsi="Arial Narrow" w:cs="Arial"/>
          <w:b/>
          <w:sz w:val="24"/>
          <w:szCs w:val="24"/>
          <w:lang w:val="es-CO"/>
        </w:rPr>
      </w:pPr>
      <w:r>
        <w:rPr>
          <w:rFonts w:ascii="Arial Narrow" w:hAnsi="Arial Narrow" w:cs="Arial"/>
          <w:b/>
          <w:sz w:val="24"/>
          <w:szCs w:val="24"/>
          <w:lang w:val="es-CO"/>
        </w:rPr>
        <w:t>EL</w:t>
      </w:r>
      <w:r w:rsidRPr="00C94895">
        <w:rPr>
          <w:rFonts w:ascii="Arial Narrow" w:hAnsi="Arial Narrow" w:cs="Arial"/>
          <w:b/>
          <w:sz w:val="24"/>
          <w:szCs w:val="24"/>
          <w:lang w:val="es-CO"/>
        </w:rPr>
        <w:t xml:space="preserve"> SUPERINTENDENTE DE TRANSPORTE </w:t>
      </w:r>
    </w:p>
    <w:p w14:paraId="78AF20B7" w14:textId="77777777" w:rsidR="00B23585" w:rsidRPr="00C94895" w:rsidRDefault="00B23585" w:rsidP="00B23585">
      <w:pPr>
        <w:ind w:right="50"/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71871346" w14:textId="77777777" w:rsidR="00B23585" w:rsidRDefault="00B23585" w:rsidP="00B23585">
      <w:pPr>
        <w:ind w:right="50"/>
        <w:jc w:val="both"/>
        <w:rPr>
          <w:rFonts w:ascii="Arial Narrow" w:hAnsi="Arial Narrow" w:cs="Arial"/>
          <w:sz w:val="24"/>
          <w:szCs w:val="24"/>
          <w:lang w:val="es-CO"/>
        </w:rPr>
      </w:pPr>
      <w:r w:rsidRPr="00CA2131">
        <w:rPr>
          <w:rFonts w:ascii="Arial Narrow" w:hAnsi="Arial Narrow" w:cs="Arial"/>
          <w:sz w:val="24"/>
          <w:szCs w:val="24"/>
          <w:lang w:val="es-CO"/>
        </w:rPr>
        <w:t>En ejercicio de sus facultades legales y en especial las que le confiere el artículo 7 del Decreto 2409 de 2018 y,</w:t>
      </w:r>
    </w:p>
    <w:p w14:paraId="65FB677A" w14:textId="462D6C24" w:rsidR="00B23585" w:rsidRPr="00C94895" w:rsidRDefault="00B23585" w:rsidP="00570ED7">
      <w:pPr>
        <w:pStyle w:val="Prrafodelista"/>
        <w:numPr>
          <w:ilvl w:val="0"/>
          <w:numId w:val="10"/>
        </w:numPr>
        <w:spacing w:before="240"/>
        <w:ind w:right="50"/>
        <w:jc w:val="center"/>
        <w:rPr>
          <w:rFonts w:ascii="Arial Narrow" w:hAnsi="Arial Narrow" w:cs="Arial"/>
          <w:b/>
          <w:szCs w:val="24"/>
        </w:rPr>
      </w:pPr>
      <w:r w:rsidRPr="00C94895">
        <w:rPr>
          <w:rFonts w:ascii="Arial Narrow" w:hAnsi="Arial Narrow" w:cs="Arial"/>
          <w:b/>
          <w:szCs w:val="24"/>
        </w:rPr>
        <w:t>CONSIDERANDO</w:t>
      </w:r>
    </w:p>
    <w:p w14:paraId="78BDA7AE" w14:textId="77777777" w:rsidR="00B23585" w:rsidRPr="00C94895" w:rsidRDefault="00B23585" w:rsidP="00B23585">
      <w:pPr>
        <w:ind w:left="426" w:right="50" w:hanging="426"/>
        <w:rPr>
          <w:rFonts w:ascii="Arial Narrow" w:hAnsi="Arial Narrow" w:cs="Arial"/>
          <w:b/>
          <w:sz w:val="24"/>
          <w:szCs w:val="24"/>
        </w:rPr>
      </w:pPr>
    </w:p>
    <w:p w14:paraId="1ED6C1CA" w14:textId="620D57C7" w:rsidR="00B23585" w:rsidRDefault="00B23585" w:rsidP="00B23585">
      <w:pPr>
        <w:pStyle w:val="Prrafodelista"/>
        <w:numPr>
          <w:ilvl w:val="1"/>
          <w:numId w:val="7"/>
        </w:numPr>
        <w:ind w:right="50"/>
        <w:jc w:val="both"/>
        <w:rPr>
          <w:rFonts w:ascii="Arial Narrow" w:hAnsi="Arial Narrow" w:cs="Calibri"/>
          <w:szCs w:val="24"/>
          <w:shd w:val="clear" w:color="auto" w:fill="FFFFFF"/>
        </w:rPr>
      </w:pPr>
      <w:r w:rsidRPr="00B23585">
        <w:rPr>
          <w:rFonts w:ascii="Arial Narrow" w:hAnsi="Arial Narrow" w:cs="Calibri"/>
          <w:szCs w:val="24"/>
          <w:shd w:val="clear" w:color="auto" w:fill="FFFFFF"/>
        </w:rPr>
        <w:t>Que el artículo 36 de la Ley 1753 de 2015, por la cual se expide el Plan Nacional de Desarrollo 2014-2018, sustituyó la tasa de vigilancia creada por el numeral 2 del artículo 27 de la Ley 1ª de 1991 y ampliada por el artículo 89 de la Ley 1450 de 2011, por una contribución especial de vigilancia</w:t>
      </w:r>
      <w:r w:rsidR="00B36226">
        <w:rPr>
          <w:rFonts w:ascii="Arial Narrow" w:hAnsi="Arial Narrow" w:cs="Calibri"/>
          <w:szCs w:val="24"/>
          <w:shd w:val="clear" w:color="auto" w:fill="FFFFFF"/>
        </w:rPr>
        <w:t>,</w:t>
      </w:r>
      <w:r w:rsidRPr="00B23585">
        <w:rPr>
          <w:rFonts w:ascii="Arial Narrow" w:hAnsi="Arial Narrow" w:cs="Calibri"/>
          <w:szCs w:val="24"/>
          <w:shd w:val="clear" w:color="auto" w:fill="FFFFFF"/>
        </w:rPr>
        <w:t xml:space="preserve"> y fijó los criterios para establecer su tarifa y liquidar el monto de la misma, la cual tiene como fin cubrir los costos y gastos de funcionamiento e inversión de la entonces denominada Superintendencia de Puertos y Transporte, ahora Superintendencia de Transporte, y debe ser pagada por todas las personas naturales y jurídicas sometidas a su vigilancia, inspección y control. </w:t>
      </w:r>
    </w:p>
    <w:p w14:paraId="2FD5145C" w14:textId="77777777" w:rsidR="00B23585" w:rsidRDefault="00B23585" w:rsidP="00B23585">
      <w:pPr>
        <w:pStyle w:val="Prrafodelista"/>
        <w:ind w:left="360" w:right="50"/>
        <w:jc w:val="both"/>
        <w:rPr>
          <w:rFonts w:ascii="Arial Narrow" w:hAnsi="Arial Narrow" w:cs="Calibri"/>
          <w:szCs w:val="24"/>
          <w:shd w:val="clear" w:color="auto" w:fill="FFFFFF"/>
        </w:rPr>
      </w:pPr>
    </w:p>
    <w:p w14:paraId="1C7AED2F" w14:textId="77777777" w:rsidR="00B23585" w:rsidRDefault="00B23585" w:rsidP="00B23585">
      <w:pPr>
        <w:pStyle w:val="Prrafodelista"/>
        <w:numPr>
          <w:ilvl w:val="1"/>
          <w:numId w:val="7"/>
        </w:numPr>
        <w:ind w:right="50"/>
        <w:jc w:val="both"/>
        <w:rPr>
          <w:rFonts w:ascii="Arial Narrow" w:hAnsi="Arial Narrow" w:cs="Calibri"/>
          <w:szCs w:val="24"/>
          <w:shd w:val="clear" w:color="auto" w:fill="FFFFFF"/>
        </w:rPr>
      </w:pPr>
      <w:r w:rsidRPr="00B23585">
        <w:rPr>
          <w:rFonts w:ascii="Arial Narrow" w:hAnsi="Arial Narrow" w:cs="Calibri"/>
          <w:szCs w:val="24"/>
          <w:shd w:val="clear" w:color="auto" w:fill="FFFFFF"/>
        </w:rPr>
        <w:t>Que de acuerdo con lo establecido en la Ley, los siguientes son los criterios a tener en cuenta en la determinación de la Contribución Especial de Vigilancia:</w:t>
      </w:r>
    </w:p>
    <w:p w14:paraId="32E9DCCC" w14:textId="77777777" w:rsidR="00B23585" w:rsidRPr="00B23585" w:rsidRDefault="00B23585" w:rsidP="00B23585">
      <w:pPr>
        <w:pStyle w:val="Prrafodelista"/>
        <w:rPr>
          <w:rFonts w:ascii="Arial Narrow" w:hAnsi="Arial Narrow" w:cs="Calibri"/>
          <w:szCs w:val="24"/>
          <w:shd w:val="clear" w:color="auto" w:fill="FFFFFF"/>
        </w:rPr>
      </w:pPr>
    </w:p>
    <w:p w14:paraId="50C844D7" w14:textId="77777777" w:rsidR="00B23585" w:rsidRPr="00C94895" w:rsidRDefault="00B23585" w:rsidP="00B23585">
      <w:pPr>
        <w:ind w:right="50" w:firstLine="708"/>
        <w:jc w:val="both"/>
        <w:rPr>
          <w:rFonts w:ascii="Arial Narrow" w:hAnsi="Arial Narrow" w:cs="Calibri"/>
          <w:i/>
          <w:sz w:val="24"/>
          <w:szCs w:val="24"/>
          <w:shd w:val="clear" w:color="auto" w:fill="FFFFFF"/>
        </w:rPr>
      </w:pPr>
      <w:r w:rsidRPr="00C94895">
        <w:rPr>
          <w:rFonts w:ascii="Arial Narrow" w:hAnsi="Arial Narrow" w:cs="Calibri"/>
          <w:i/>
          <w:sz w:val="24"/>
          <w:szCs w:val="24"/>
          <w:shd w:val="clear" w:color="auto" w:fill="FFFFFF"/>
        </w:rPr>
        <w:t xml:space="preserve">“ (…) </w:t>
      </w:r>
    </w:p>
    <w:p w14:paraId="2E05D7EE" w14:textId="77777777" w:rsidR="00B23585" w:rsidRPr="00C94895" w:rsidRDefault="00B23585" w:rsidP="00B23585">
      <w:pPr>
        <w:ind w:right="50"/>
        <w:jc w:val="both"/>
        <w:rPr>
          <w:rFonts w:ascii="Arial Narrow" w:hAnsi="Arial Narrow" w:cs="Calibri"/>
          <w:i/>
          <w:sz w:val="24"/>
          <w:szCs w:val="24"/>
          <w:shd w:val="clear" w:color="auto" w:fill="FFFFFF"/>
        </w:rPr>
      </w:pPr>
    </w:p>
    <w:p w14:paraId="3139878D" w14:textId="77777777" w:rsidR="00B23585" w:rsidRPr="00C94895" w:rsidRDefault="00B23585" w:rsidP="00B23585">
      <w:pPr>
        <w:numPr>
          <w:ilvl w:val="0"/>
          <w:numId w:val="4"/>
        </w:numPr>
        <w:ind w:right="50"/>
        <w:jc w:val="both"/>
        <w:rPr>
          <w:rFonts w:ascii="Arial Narrow" w:hAnsi="Arial Narrow" w:cs="Calibri"/>
          <w:i/>
          <w:sz w:val="24"/>
          <w:szCs w:val="24"/>
          <w:shd w:val="clear" w:color="auto" w:fill="FFFFFF"/>
        </w:rPr>
      </w:pPr>
      <w:r w:rsidRPr="00C94895">
        <w:rPr>
          <w:rFonts w:ascii="Arial Narrow" w:hAnsi="Arial Narrow" w:cs="Calibri"/>
          <w:i/>
          <w:sz w:val="24"/>
          <w:szCs w:val="24"/>
          <w:shd w:val="clear" w:color="auto" w:fill="FFFFFF"/>
        </w:rPr>
        <w:t>El total de las contribuciones corresponderá al monto del presupuesto anual de funcionamiento e inversión de la Superintendencia de Transporte.</w:t>
      </w:r>
    </w:p>
    <w:p w14:paraId="0711E7A5" w14:textId="77777777" w:rsidR="00B23585" w:rsidRPr="00C94895" w:rsidRDefault="00B23585" w:rsidP="00B23585">
      <w:pPr>
        <w:ind w:right="50"/>
        <w:jc w:val="both"/>
        <w:rPr>
          <w:rFonts w:ascii="Arial Narrow" w:hAnsi="Arial Narrow" w:cs="Calibri"/>
          <w:i/>
          <w:sz w:val="24"/>
          <w:szCs w:val="24"/>
          <w:shd w:val="clear" w:color="auto" w:fill="FFFFFF"/>
        </w:rPr>
      </w:pPr>
    </w:p>
    <w:p w14:paraId="54F059FD" w14:textId="77777777" w:rsidR="00B23585" w:rsidRPr="00C94895" w:rsidRDefault="00B23585" w:rsidP="00B23585">
      <w:pPr>
        <w:numPr>
          <w:ilvl w:val="0"/>
          <w:numId w:val="4"/>
        </w:numPr>
        <w:ind w:right="50"/>
        <w:jc w:val="both"/>
        <w:rPr>
          <w:rFonts w:ascii="Arial Narrow" w:hAnsi="Arial Narrow" w:cs="Calibri"/>
          <w:i/>
          <w:sz w:val="24"/>
          <w:szCs w:val="24"/>
          <w:shd w:val="clear" w:color="auto" w:fill="FFFFFF"/>
        </w:rPr>
      </w:pPr>
      <w:r w:rsidRPr="00C94895">
        <w:rPr>
          <w:rFonts w:ascii="Arial Narrow" w:hAnsi="Arial Narrow" w:cs="Calibri"/>
          <w:i/>
          <w:sz w:val="24"/>
          <w:szCs w:val="24"/>
          <w:shd w:val="clear" w:color="auto" w:fill="FFFFFF"/>
        </w:rPr>
        <w:t xml:space="preserve">Con base en los ingresos brutos derivados de la actividad de transporte que perciba el sujeto supervisado durante el periodo anual anterior, la Superintendencia de Transporte, </w:t>
      </w:r>
      <w:r w:rsidRPr="006B6F42">
        <w:rPr>
          <w:rFonts w:ascii="Arial Narrow" w:hAnsi="Arial Narrow" w:cs="Calibri"/>
          <w:i/>
          <w:sz w:val="24"/>
          <w:szCs w:val="24"/>
          <w:shd w:val="clear" w:color="auto" w:fill="FFFFFF"/>
        </w:rPr>
        <w:t>mediante resolución, establecerá la tarifa de la contribución a cobrar que no podrá ser superior al cero coma dos por ciento (0,2%) de dichos ingresos brutos.</w:t>
      </w:r>
    </w:p>
    <w:p w14:paraId="23B92FD4" w14:textId="77777777" w:rsidR="00B23585" w:rsidRPr="00C94895" w:rsidRDefault="00B23585" w:rsidP="00B23585">
      <w:pPr>
        <w:pStyle w:val="Prrafodelista"/>
        <w:jc w:val="both"/>
        <w:rPr>
          <w:rFonts w:ascii="Arial Narrow" w:hAnsi="Arial Narrow" w:cs="Calibri"/>
          <w:i/>
          <w:szCs w:val="24"/>
          <w:shd w:val="clear" w:color="auto" w:fill="FFFFFF"/>
        </w:rPr>
      </w:pPr>
    </w:p>
    <w:p w14:paraId="7F1B471A" w14:textId="61B4C228" w:rsidR="008240A7" w:rsidRPr="00A029A6" w:rsidRDefault="00B23585" w:rsidP="00A029A6">
      <w:pPr>
        <w:numPr>
          <w:ilvl w:val="0"/>
          <w:numId w:val="4"/>
        </w:numPr>
        <w:ind w:right="50"/>
        <w:rPr>
          <w:rFonts w:ascii="Arial Narrow" w:hAnsi="Arial Narrow" w:cs="Calibri"/>
          <w:sz w:val="24"/>
          <w:szCs w:val="24"/>
          <w:shd w:val="clear" w:color="auto" w:fill="FFFFFF"/>
          <w:lang w:val="es-CO"/>
        </w:rPr>
      </w:pPr>
      <w:r w:rsidRPr="00A029A6">
        <w:rPr>
          <w:rFonts w:ascii="Arial Narrow" w:hAnsi="Arial Narrow" w:cs="Calibri"/>
          <w:i/>
          <w:sz w:val="24"/>
          <w:szCs w:val="24"/>
          <w:u w:val="single"/>
          <w:shd w:val="clear" w:color="auto" w:fill="FFFFFF"/>
        </w:rPr>
        <w:t>La contribución deberá cancelarse anualmente, en los plazos que para tal efecto determine la Superintendencia de Transporte.</w:t>
      </w:r>
      <w:r w:rsidR="008240A7" w:rsidRPr="00A029A6">
        <w:rPr>
          <w:rFonts w:ascii="Arial Narrow" w:hAnsi="Arial Narrow" w:cs="Calibri"/>
          <w:i/>
          <w:sz w:val="24"/>
          <w:szCs w:val="24"/>
          <w:u w:val="single"/>
          <w:shd w:val="clear" w:color="auto" w:fill="FFFFFF"/>
        </w:rPr>
        <w:t>”</w:t>
      </w:r>
      <w:r w:rsidR="00A029A6" w:rsidRPr="00A029A6">
        <w:rPr>
          <w:rFonts w:ascii="Arial Narrow" w:hAnsi="Arial Narrow" w:cs="Calibri"/>
          <w:i/>
          <w:sz w:val="24"/>
          <w:szCs w:val="24"/>
          <w:shd w:val="clear" w:color="auto" w:fill="FFFFFF"/>
        </w:rPr>
        <w:t xml:space="preserve">  </w:t>
      </w:r>
      <w:r w:rsidR="008240A7" w:rsidRPr="00A029A6">
        <w:rPr>
          <w:rFonts w:ascii="Arial Narrow" w:hAnsi="Arial Narrow" w:cs="Calibri"/>
          <w:sz w:val="24"/>
          <w:szCs w:val="24"/>
          <w:shd w:val="clear" w:color="auto" w:fill="FFFFFF"/>
          <w:lang w:val="es-CO"/>
        </w:rPr>
        <w:t>(Subrayado por fuera del texto original)</w:t>
      </w:r>
    </w:p>
    <w:p w14:paraId="6D6621F2" w14:textId="2D470AF8" w:rsidR="00B23585" w:rsidRDefault="00B23585" w:rsidP="008240A7">
      <w:pPr>
        <w:ind w:right="50"/>
        <w:jc w:val="both"/>
        <w:rPr>
          <w:rFonts w:ascii="Arial Narrow" w:hAnsi="Arial Narrow" w:cs="Calibri"/>
          <w:i/>
          <w:sz w:val="24"/>
          <w:szCs w:val="24"/>
          <w:u w:val="single"/>
          <w:shd w:val="clear" w:color="auto" w:fill="FFFFFF"/>
          <w:lang w:val="es-CO"/>
        </w:rPr>
      </w:pPr>
    </w:p>
    <w:p w14:paraId="197C91DB" w14:textId="77777777" w:rsidR="00A029A6" w:rsidRPr="008240A7" w:rsidRDefault="00A029A6" w:rsidP="008240A7">
      <w:pPr>
        <w:ind w:right="50"/>
        <w:jc w:val="both"/>
        <w:rPr>
          <w:rFonts w:ascii="Arial Narrow" w:hAnsi="Arial Narrow" w:cs="Calibri"/>
          <w:i/>
          <w:sz w:val="24"/>
          <w:szCs w:val="24"/>
          <w:u w:val="single"/>
          <w:shd w:val="clear" w:color="auto" w:fill="FFFFFF"/>
          <w:lang w:val="es-CO"/>
        </w:rPr>
      </w:pPr>
    </w:p>
    <w:p w14:paraId="7F6A7AF8" w14:textId="42863D78" w:rsidR="00B23585" w:rsidRDefault="00B23585" w:rsidP="00B23585">
      <w:pPr>
        <w:pStyle w:val="Prrafodelista"/>
        <w:numPr>
          <w:ilvl w:val="1"/>
          <w:numId w:val="7"/>
        </w:numPr>
        <w:ind w:right="50"/>
        <w:jc w:val="both"/>
        <w:rPr>
          <w:rFonts w:ascii="Arial Narrow" w:hAnsi="Arial Narrow" w:cs="Calibri"/>
          <w:szCs w:val="24"/>
          <w:shd w:val="clear" w:color="auto" w:fill="FFFFFF"/>
        </w:rPr>
      </w:pPr>
      <w:r w:rsidRPr="00B23585">
        <w:rPr>
          <w:rFonts w:ascii="Arial Narrow" w:hAnsi="Arial Narrow" w:cs="Calibri"/>
          <w:szCs w:val="24"/>
          <w:shd w:val="clear" w:color="auto" w:fill="FFFFFF"/>
        </w:rPr>
        <w:t xml:space="preserve">Que </w:t>
      </w:r>
      <w:r w:rsidR="00B36226">
        <w:rPr>
          <w:rFonts w:ascii="Arial Narrow" w:hAnsi="Arial Narrow" w:cs="Calibri"/>
          <w:szCs w:val="24"/>
          <w:shd w:val="clear" w:color="auto" w:fill="FFFFFF"/>
        </w:rPr>
        <w:t xml:space="preserve">en virtud de lo anterior, </w:t>
      </w:r>
      <w:r w:rsidR="003C29EB">
        <w:rPr>
          <w:rFonts w:ascii="Arial Narrow" w:hAnsi="Arial Narrow" w:cs="Calibri"/>
          <w:szCs w:val="24"/>
          <w:shd w:val="clear" w:color="auto" w:fill="FFFFFF"/>
        </w:rPr>
        <w:t>la Superintendencia de Transporte tiene la facultad para determinar los plazos en los cuales los sujetos sometidos a inspección, vigilancia y control de la Entidad deben pagar la Contribución Especial de Vigilancia</w:t>
      </w:r>
      <w:r w:rsidR="00B36226">
        <w:rPr>
          <w:rFonts w:ascii="Arial Narrow" w:hAnsi="Arial Narrow" w:cs="Calibri"/>
          <w:szCs w:val="24"/>
          <w:shd w:val="clear" w:color="auto" w:fill="FFFFFF"/>
        </w:rPr>
        <w:t xml:space="preserve"> de cada vigencia</w:t>
      </w:r>
      <w:r w:rsidR="003C29EB">
        <w:rPr>
          <w:rFonts w:ascii="Arial Narrow" w:hAnsi="Arial Narrow" w:cs="Calibri"/>
          <w:szCs w:val="24"/>
          <w:shd w:val="clear" w:color="auto" w:fill="FFFFFF"/>
        </w:rPr>
        <w:t>.</w:t>
      </w:r>
    </w:p>
    <w:p w14:paraId="32FC77CD" w14:textId="77777777" w:rsidR="00B23585" w:rsidRDefault="00B23585" w:rsidP="00B23585">
      <w:pPr>
        <w:pStyle w:val="Prrafodelista"/>
        <w:ind w:left="360" w:right="50"/>
        <w:jc w:val="both"/>
        <w:rPr>
          <w:rFonts w:ascii="Arial Narrow" w:hAnsi="Arial Narrow" w:cs="Calibri"/>
          <w:szCs w:val="24"/>
          <w:shd w:val="clear" w:color="auto" w:fill="FFFFFF"/>
        </w:rPr>
      </w:pPr>
    </w:p>
    <w:p w14:paraId="1A8CC91E" w14:textId="0C5C178A" w:rsidR="00EE6E1C" w:rsidRPr="00A2515C" w:rsidRDefault="00B23585" w:rsidP="00A2515C">
      <w:pPr>
        <w:pStyle w:val="Prrafodelista"/>
        <w:numPr>
          <w:ilvl w:val="1"/>
          <w:numId w:val="7"/>
        </w:numPr>
        <w:ind w:right="50"/>
        <w:jc w:val="both"/>
        <w:rPr>
          <w:rFonts w:ascii="Arial Narrow" w:hAnsi="Arial Narrow" w:cs="Calibri"/>
          <w:szCs w:val="24"/>
          <w:shd w:val="clear" w:color="auto" w:fill="FFFFFF"/>
        </w:rPr>
      </w:pPr>
      <w:r w:rsidRPr="002E37F7">
        <w:rPr>
          <w:rFonts w:ascii="Arial Narrow" w:hAnsi="Arial Narrow" w:cs="Calibri"/>
          <w:szCs w:val="24"/>
          <w:shd w:val="clear" w:color="auto" w:fill="FFFFFF"/>
        </w:rPr>
        <w:t>Que</w:t>
      </w:r>
      <w:r w:rsidR="00B36226">
        <w:rPr>
          <w:rFonts w:ascii="Arial Narrow" w:hAnsi="Arial Narrow" w:cs="Calibri"/>
          <w:szCs w:val="24"/>
          <w:shd w:val="clear" w:color="auto" w:fill="FFFFFF"/>
        </w:rPr>
        <w:t xml:space="preserve"> mediante la Resolución </w:t>
      </w:r>
      <w:r w:rsidR="00B36226" w:rsidRPr="00A2515C">
        <w:rPr>
          <w:rFonts w:ascii="Arial Narrow" w:hAnsi="Arial Narrow" w:cs="Calibri"/>
          <w:szCs w:val="24"/>
          <w:shd w:val="clear" w:color="auto" w:fill="FFFFFF"/>
        </w:rPr>
        <w:t>número 6257 del 2 de abril de 2020</w:t>
      </w:r>
      <w:r w:rsidR="00B36226">
        <w:rPr>
          <w:rFonts w:ascii="Arial Narrow" w:hAnsi="Arial Narrow" w:cs="Calibri"/>
          <w:szCs w:val="24"/>
          <w:shd w:val="clear" w:color="auto" w:fill="FFFFFF"/>
        </w:rPr>
        <w:t xml:space="preserve">, la Superintendencia de Transporte </w:t>
      </w:r>
      <w:r w:rsidR="00B36226" w:rsidRPr="00A2515C">
        <w:rPr>
          <w:rFonts w:ascii="Arial Narrow" w:hAnsi="Arial Narrow" w:cs="Calibri"/>
          <w:szCs w:val="24"/>
          <w:shd w:val="clear" w:color="auto" w:fill="FFFFFF"/>
        </w:rPr>
        <w:t>estableció plazos especiales para el pago de la Contribución Especial de Vigilancia para la vigencia</w:t>
      </w:r>
      <w:r w:rsidR="00B36226">
        <w:rPr>
          <w:rFonts w:ascii="Arial Narrow" w:hAnsi="Arial Narrow" w:cs="Calibri"/>
          <w:szCs w:val="24"/>
          <w:shd w:val="clear" w:color="auto" w:fill="FFFFFF"/>
        </w:rPr>
        <w:t xml:space="preserve"> </w:t>
      </w:r>
      <w:r w:rsidR="00B36226">
        <w:rPr>
          <w:rFonts w:ascii="Arial Narrow" w:hAnsi="Arial Narrow" w:cs="Calibri"/>
          <w:szCs w:val="24"/>
          <w:shd w:val="clear" w:color="auto" w:fill="FFFFFF"/>
        </w:rPr>
        <w:lastRenderedPageBreak/>
        <w:t>fiscal</w:t>
      </w:r>
      <w:r w:rsidR="00B36226" w:rsidRPr="00A2515C">
        <w:rPr>
          <w:rFonts w:ascii="Arial Narrow" w:hAnsi="Arial Narrow" w:cs="Calibri"/>
          <w:szCs w:val="24"/>
          <w:shd w:val="clear" w:color="auto" w:fill="FFFFFF"/>
        </w:rPr>
        <w:t xml:space="preserve"> 2020</w:t>
      </w:r>
      <w:r w:rsidR="00B36226">
        <w:rPr>
          <w:rFonts w:ascii="Arial Narrow" w:hAnsi="Arial Narrow" w:cs="Calibri"/>
          <w:szCs w:val="24"/>
          <w:shd w:val="clear" w:color="auto" w:fill="FFFFFF"/>
        </w:rPr>
        <w:t>, con ocasión a la declaratoria de la emergencia económica, social y ecológica por la propagación del virus COVID-19 en el territorio nacional.</w:t>
      </w:r>
    </w:p>
    <w:p w14:paraId="260C4EFA" w14:textId="6E895405" w:rsidR="00EE6E1C" w:rsidRDefault="00EE6E1C" w:rsidP="00EE6E1C">
      <w:pPr>
        <w:pStyle w:val="Prrafodelista"/>
        <w:rPr>
          <w:rFonts w:ascii="Arial Narrow" w:hAnsi="Arial Narrow" w:cs="Calibri"/>
          <w:szCs w:val="24"/>
          <w:shd w:val="clear" w:color="auto" w:fill="FFFFFF"/>
        </w:rPr>
      </w:pPr>
    </w:p>
    <w:p w14:paraId="25692C58" w14:textId="4ED6EE6E" w:rsidR="00A029A6" w:rsidRDefault="00A029A6" w:rsidP="00EE6E1C">
      <w:pPr>
        <w:pStyle w:val="Prrafodelista"/>
        <w:rPr>
          <w:rFonts w:ascii="Arial Narrow" w:hAnsi="Arial Narrow" w:cs="Calibri"/>
          <w:szCs w:val="24"/>
          <w:shd w:val="clear" w:color="auto" w:fill="FFFFFF"/>
        </w:rPr>
      </w:pPr>
    </w:p>
    <w:p w14:paraId="2685D039" w14:textId="77777777" w:rsidR="00A029A6" w:rsidRPr="00EE6E1C" w:rsidRDefault="00A029A6" w:rsidP="00EE6E1C">
      <w:pPr>
        <w:pStyle w:val="Prrafodelista"/>
        <w:rPr>
          <w:rFonts w:ascii="Arial Narrow" w:hAnsi="Arial Narrow" w:cs="Calibri"/>
          <w:szCs w:val="24"/>
          <w:shd w:val="clear" w:color="auto" w:fill="FFFFFF"/>
        </w:rPr>
      </w:pPr>
    </w:p>
    <w:p w14:paraId="3A23734B" w14:textId="2E13B68E" w:rsidR="008E3292" w:rsidRDefault="00EE6E1C" w:rsidP="002E37F7">
      <w:pPr>
        <w:pStyle w:val="Prrafodelista"/>
        <w:numPr>
          <w:ilvl w:val="1"/>
          <w:numId w:val="7"/>
        </w:numPr>
        <w:ind w:right="50"/>
        <w:jc w:val="both"/>
        <w:rPr>
          <w:rFonts w:ascii="Arial Narrow" w:hAnsi="Arial Narrow" w:cs="Calibri"/>
          <w:szCs w:val="24"/>
          <w:shd w:val="clear" w:color="auto" w:fill="FFFFFF"/>
        </w:rPr>
      </w:pPr>
      <w:r>
        <w:rPr>
          <w:rFonts w:ascii="Arial Narrow" w:hAnsi="Arial Narrow" w:cs="Calibri"/>
          <w:szCs w:val="24"/>
          <w:shd w:val="clear" w:color="auto" w:fill="FFFFFF"/>
        </w:rPr>
        <w:t xml:space="preserve">Que </w:t>
      </w:r>
      <w:r w:rsidR="008E3292">
        <w:rPr>
          <w:rFonts w:ascii="Arial Narrow" w:hAnsi="Arial Narrow" w:cs="Calibri"/>
          <w:szCs w:val="24"/>
          <w:shd w:val="clear" w:color="auto" w:fill="FFFFFF"/>
        </w:rPr>
        <w:t>el artículo segundo de la citada Resolución estableció:</w:t>
      </w:r>
    </w:p>
    <w:p w14:paraId="7D0ACE6D" w14:textId="37E5DFA1" w:rsidR="008E3292" w:rsidRDefault="008E3292" w:rsidP="008E3292">
      <w:pPr>
        <w:pStyle w:val="Prrafodelista"/>
        <w:rPr>
          <w:rFonts w:ascii="Arial Narrow" w:hAnsi="Arial Narrow" w:cs="Calibri"/>
          <w:szCs w:val="24"/>
          <w:shd w:val="clear" w:color="auto" w:fill="FFFFFF"/>
        </w:rPr>
      </w:pPr>
    </w:p>
    <w:p w14:paraId="08C107D2" w14:textId="273B5B9B" w:rsidR="008E3292" w:rsidRDefault="008E3292" w:rsidP="008E3292">
      <w:pPr>
        <w:pStyle w:val="Prrafodelista"/>
        <w:jc w:val="both"/>
        <w:rPr>
          <w:rFonts w:ascii="Arial Narrow" w:hAnsi="Arial Narrow" w:cs="Calibri"/>
          <w:szCs w:val="24"/>
          <w:shd w:val="clear" w:color="auto" w:fill="FFFFFF"/>
        </w:rPr>
      </w:pPr>
      <w:r>
        <w:rPr>
          <w:rFonts w:ascii="Arial Narrow" w:hAnsi="Arial Narrow" w:cs="Calibri"/>
          <w:szCs w:val="24"/>
          <w:shd w:val="clear" w:color="auto" w:fill="FFFFFF"/>
        </w:rPr>
        <w:t>“</w:t>
      </w:r>
      <w:r w:rsidRPr="008E3292">
        <w:rPr>
          <w:rFonts w:ascii="Arial Narrow" w:hAnsi="Arial Narrow" w:cs="Calibri"/>
          <w:b/>
          <w:bCs/>
          <w:szCs w:val="24"/>
          <w:shd w:val="clear" w:color="auto" w:fill="FFFFFF"/>
        </w:rPr>
        <w:t>Artículo Segundo: Plazo especial de pago.</w:t>
      </w:r>
      <w:r>
        <w:rPr>
          <w:rFonts w:ascii="Arial Narrow" w:hAnsi="Arial Narrow" w:cs="Calibri"/>
          <w:szCs w:val="24"/>
          <w:shd w:val="clear" w:color="auto" w:fill="FFFFFF"/>
        </w:rPr>
        <w:t xml:space="preserve"> Para los sujetos sometidos a supervisión por parte de la Superintendencia de Transporte, se les concederá la posibilidad de pagar la primera y segunda cuota de la Contribución Especial de Vigilancia para la vigencia 2020, desde el </w:t>
      </w:r>
      <w:r w:rsidRPr="008E3292">
        <w:rPr>
          <w:rFonts w:ascii="Arial Narrow" w:hAnsi="Arial Narrow" w:cs="Calibri"/>
          <w:szCs w:val="24"/>
          <w:u w:val="single"/>
          <w:shd w:val="clear" w:color="auto" w:fill="FFFFFF"/>
        </w:rPr>
        <w:t>1 de diciembre de 2020 hasta el 31 de diciembre de 2020</w:t>
      </w:r>
      <w:r>
        <w:rPr>
          <w:rFonts w:ascii="Arial Narrow" w:hAnsi="Arial Narrow" w:cs="Calibri"/>
          <w:szCs w:val="24"/>
          <w:u w:val="single"/>
          <w:shd w:val="clear" w:color="auto" w:fill="FFFFFF"/>
        </w:rPr>
        <w:t>.</w:t>
      </w:r>
      <w:r>
        <w:rPr>
          <w:rFonts w:ascii="Arial Narrow" w:hAnsi="Arial Narrow" w:cs="Calibri"/>
          <w:szCs w:val="24"/>
          <w:shd w:val="clear" w:color="auto" w:fill="FFFFFF"/>
        </w:rPr>
        <w:t>” (Subrayado fuera de texto original)</w:t>
      </w:r>
    </w:p>
    <w:p w14:paraId="1B9232CF" w14:textId="77777777" w:rsidR="00B23585" w:rsidRPr="00B23585" w:rsidRDefault="00B23585" w:rsidP="00B23585">
      <w:pPr>
        <w:pStyle w:val="Prrafodelista"/>
        <w:rPr>
          <w:rFonts w:ascii="Arial Narrow" w:hAnsi="Arial Narrow" w:cs="Calibri"/>
          <w:szCs w:val="24"/>
          <w:shd w:val="clear" w:color="auto" w:fill="FFFFFF"/>
        </w:rPr>
      </w:pPr>
    </w:p>
    <w:p w14:paraId="041FC946" w14:textId="7827864C" w:rsidR="008240A7" w:rsidRDefault="008240A7" w:rsidP="008240A7">
      <w:pPr>
        <w:pStyle w:val="Prrafodelista"/>
        <w:numPr>
          <w:ilvl w:val="1"/>
          <w:numId w:val="7"/>
        </w:numPr>
        <w:jc w:val="both"/>
        <w:rPr>
          <w:rFonts w:ascii="Arial Narrow" w:hAnsi="Arial Narrow" w:cs="Calibri"/>
          <w:szCs w:val="24"/>
          <w:shd w:val="clear" w:color="auto" w:fill="FFFFFF"/>
        </w:rPr>
      </w:pPr>
      <w:r>
        <w:rPr>
          <w:rFonts w:ascii="Arial Narrow" w:hAnsi="Arial Narrow" w:cs="Calibri"/>
          <w:szCs w:val="24"/>
          <w:shd w:val="clear" w:color="auto" w:fill="FFFFFF"/>
        </w:rPr>
        <w:t xml:space="preserve">Que </w:t>
      </w:r>
      <w:r w:rsidR="001678E8">
        <w:rPr>
          <w:rFonts w:ascii="Arial Narrow" w:hAnsi="Arial Narrow" w:cs="Calibri"/>
          <w:szCs w:val="24"/>
          <w:shd w:val="clear" w:color="auto" w:fill="FFFFFF"/>
        </w:rPr>
        <w:t>con observancia de</w:t>
      </w:r>
      <w:r>
        <w:rPr>
          <w:rFonts w:ascii="Arial Narrow" w:hAnsi="Arial Narrow" w:cs="Calibri"/>
          <w:szCs w:val="24"/>
          <w:shd w:val="clear" w:color="auto" w:fill="FFFFFF"/>
        </w:rPr>
        <w:t xml:space="preserve"> lo establecido en el artículo </w:t>
      </w:r>
      <w:r w:rsidRPr="008240A7">
        <w:rPr>
          <w:rFonts w:ascii="Arial Narrow" w:hAnsi="Arial Narrow" w:cs="Calibri"/>
          <w:szCs w:val="24"/>
          <w:shd w:val="clear" w:color="auto" w:fill="FFFFFF"/>
        </w:rPr>
        <w:t xml:space="preserve">20 de la </w:t>
      </w:r>
      <w:r>
        <w:rPr>
          <w:rFonts w:ascii="Arial Narrow" w:hAnsi="Arial Narrow" w:cs="Calibri"/>
          <w:szCs w:val="24"/>
          <w:shd w:val="clear" w:color="auto" w:fill="FFFFFF"/>
        </w:rPr>
        <w:t xml:space="preserve">Ley 137 de 1994, y los artículos </w:t>
      </w:r>
      <w:r w:rsidRPr="008240A7">
        <w:rPr>
          <w:rFonts w:ascii="Arial Narrow" w:hAnsi="Arial Narrow" w:cs="Calibri"/>
          <w:szCs w:val="24"/>
          <w:shd w:val="clear" w:color="auto" w:fill="FFFFFF"/>
        </w:rPr>
        <w:t>136 y 185</w:t>
      </w:r>
      <w:r>
        <w:rPr>
          <w:rFonts w:ascii="Arial Narrow" w:hAnsi="Arial Narrow" w:cs="Calibri"/>
          <w:szCs w:val="24"/>
          <w:shd w:val="clear" w:color="auto" w:fill="FFFFFF"/>
        </w:rPr>
        <w:t xml:space="preserve"> de la Ley 1437 de 2011, a través de fallo del día 24 de julio de 2020</w:t>
      </w:r>
      <w:r w:rsidR="00534AC3">
        <w:rPr>
          <w:rStyle w:val="Refdenotaalpie"/>
          <w:rFonts w:ascii="Arial Narrow" w:hAnsi="Arial Narrow" w:cs="Calibri"/>
          <w:szCs w:val="24"/>
          <w:shd w:val="clear" w:color="auto" w:fill="FFFFFF"/>
        </w:rPr>
        <w:footnoteReference w:id="1"/>
      </w:r>
      <w:r>
        <w:rPr>
          <w:rFonts w:ascii="Arial Narrow" w:hAnsi="Arial Narrow" w:cs="Calibri"/>
          <w:szCs w:val="24"/>
          <w:shd w:val="clear" w:color="auto" w:fill="FFFFFF"/>
        </w:rPr>
        <w:t xml:space="preserve">, el H. Consejo de Estado </w:t>
      </w:r>
      <w:r w:rsidR="00534AC3">
        <w:rPr>
          <w:rFonts w:ascii="Arial Narrow" w:hAnsi="Arial Narrow" w:cs="Calibri"/>
          <w:szCs w:val="24"/>
          <w:shd w:val="clear" w:color="auto" w:fill="FFFFFF"/>
        </w:rPr>
        <w:t xml:space="preserve">efectuó el control inmediato de legalidad de la Resolución número </w:t>
      </w:r>
      <w:r w:rsidR="00534AC3" w:rsidRPr="00A2515C">
        <w:rPr>
          <w:rFonts w:ascii="Arial Narrow" w:hAnsi="Arial Narrow" w:cs="Calibri"/>
          <w:szCs w:val="24"/>
          <w:shd w:val="clear" w:color="auto" w:fill="FFFFFF"/>
        </w:rPr>
        <w:t>6257 del 2 de abril de 2020</w:t>
      </w:r>
      <w:r w:rsidR="00534AC3">
        <w:rPr>
          <w:rFonts w:ascii="Arial Narrow" w:hAnsi="Arial Narrow" w:cs="Calibri"/>
          <w:szCs w:val="24"/>
          <w:shd w:val="clear" w:color="auto" w:fill="FFFFFF"/>
        </w:rPr>
        <w:t>, declarando la legalidad de dicho acto administrativo</w:t>
      </w:r>
      <w:r w:rsidR="00841869">
        <w:rPr>
          <w:rFonts w:ascii="Arial Narrow" w:hAnsi="Arial Narrow" w:cs="Calibri"/>
          <w:szCs w:val="24"/>
          <w:shd w:val="clear" w:color="auto" w:fill="FFFFFF"/>
        </w:rPr>
        <w:t xml:space="preserve">, considerando que las disposiciones ahí contenidas </w:t>
      </w:r>
      <w:r w:rsidR="00405A8D">
        <w:rPr>
          <w:rFonts w:ascii="Arial Narrow" w:hAnsi="Arial Narrow" w:cs="Calibri"/>
          <w:szCs w:val="24"/>
          <w:shd w:val="clear" w:color="auto" w:fill="FFFFFF"/>
        </w:rPr>
        <w:t>se encontraban</w:t>
      </w:r>
      <w:r w:rsidR="00841869">
        <w:rPr>
          <w:rFonts w:ascii="Arial Narrow" w:hAnsi="Arial Narrow" w:cs="Calibri"/>
          <w:szCs w:val="24"/>
          <w:shd w:val="clear" w:color="auto" w:fill="FFFFFF"/>
        </w:rPr>
        <w:t xml:space="preserve"> acorde con </w:t>
      </w:r>
      <w:r w:rsidR="00534AC3">
        <w:rPr>
          <w:rFonts w:ascii="Arial Narrow" w:hAnsi="Arial Narrow" w:cs="Calibri"/>
          <w:szCs w:val="24"/>
          <w:shd w:val="clear" w:color="auto" w:fill="FFFFFF"/>
        </w:rPr>
        <w:t>la normatividad vigente.</w:t>
      </w:r>
    </w:p>
    <w:p w14:paraId="3884E202" w14:textId="77777777" w:rsidR="008240A7" w:rsidRPr="00534AC3" w:rsidRDefault="008240A7" w:rsidP="00534AC3">
      <w:pPr>
        <w:jc w:val="both"/>
        <w:rPr>
          <w:rFonts w:ascii="Arial Narrow" w:hAnsi="Arial Narrow" w:cs="Calibri"/>
          <w:szCs w:val="24"/>
          <w:shd w:val="clear" w:color="auto" w:fill="FFFFFF"/>
        </w:rPr>
      </w:pPr>
    </w:p>
    <w:p w14:paraId="6D5BA09A" w14:textId="19107359" w:rsidR="008E3292" w:rsidRDefault="00B23585" w:rsidP="00EE6E1C">
      <w:pPr>
        <w:pStyle w:val="Prrafodelista"/>
        <w:numPr>
          <w:ilvl w:val="1"/>
          <w:numId w:val="7"/>
        </w:numPr>
        <w:jc w:val="both"/>
        <w:rPr>
          <w:rFonts w:ascii="Arial Narrow" w:hAnsi="Arial Narrow" w:cs="Calibri"/>
          <w:szCs w:val="24"/>
          <w:shd w:val="clear" w:color="auto" w:fill="FFFFFF"/>
        </w:rPr>
      </w:pPr>
      <w:r w:rsidRPr="00EE6E1C">
        <w:rPr>
          <w:rFonts w:ascii="Arial Narrow" w:hAnsi="Arial Narrow" w:cs="Calibri"/>
          <w:szCs w:val="24"/>
          <w:shd w:val="clear" w:color="auto" w:fill="FFFFFF"/>
        </w:rPr>
        <w:t xml:space="preserve">Que </w:t>
      </w:r>
      <w:r w:rsidR="001F0C9C">
        <w:rPr>
          <w:rFonts w:ascii="Arial Narrow" w:hAnsi="Arial Narrow" w:cs="Calibri"/>
          <w:szCs w:val="24"/>
          <w:shd w:val="clear" w:color="auto" w:fill="FFFFFF"/>
        </w:rPr>
        <w:t>entre</w:t>
      </w:r>
      <w:r w:rsidR="008E3292">
        <w:rPr>
          <w:rFonts w:ascii="Arial Narrow" w:hAnsi="Arial Narrow" w:cs="Calibri"/>
          <w:szCs w:val="24"/>
          <w:shd w:val="clear" w:color="auto" w:fill="FFFFFF"/>
        </w:rPr>
        <w:t xml:space="preserve"> el 25 de diciembre</w:t>
      </w:r>
      <w:r w:rsidR="00EE6E1C" w:rsidRPr="008E3292">
        <w:rPr>
          <w:rFonts w:ascii="Arial Narrow" w:hAnsi="Arial Narrow" w:cs="Calibri"/>
          <w:szCs w:val="24"/>
          <w:shd w:val="clear" w:color="auto" w:fill="FFFFFF"/>
        </w:rPr>
        <w:t xml:space="preserve"> </w:t>
      </w:r>
      <w:r w:rsidR="001F0C9C">
        <w:rPr>
          <w:rFonts w:ascii="Arial Narrow" w:hAnsi="Arial Narrow" w:cs="Calibri"/>
          <w:szCs w:val="24"/>
          <w:shd w:val="clear" w:color="auto" w:fill="FFFFFF"/>
        </w:rPr>
        <w:t>y</w:t>
      </w:r>
      <w:r w:rsidR="00EE6E1C" w:rsidRPr="008E3292">
        <w:rPr>
          <w:rFonts w:ascii="Arial Narrow" w:hAnsi="Arial Narrow" w:cs="Calibri"/>
          <w:szCs w:val="24"/>
          <w:shd w:val="clear" w:color="auto" w:fill="FFFFFF"/>
        </w:rPr>
        <w:t xml:space="preserve"> el </w:t>
      </w:r>
      <w:r w:rsidR="00890205">
        <w:rPr>
          <w:rFonts w:ascii="Arial Narrow" w:hAnsi="Arial Narrow" w:cs="Calibri"/>
          <w:szCs w:val="24"/>
          <w:shd w:val="clear" w:color="auto" w:fill="FFFFFF"/>
        </w:rPr>
        <w:t>30</w:t>
      </w:r>
      <w:r w:rsidR="00EE6E1C" w:rsidRPr="008E3292">
        <w:rPr>
          <w:rFonts w:ascii="Arial Narrow" w:hAnsi="Arial Narrow" w:cs="Calibri"/>
          <w:szCs w:val="24"/>
          <w:shd w:val="clear" w:color="auto" w:fill="FFFFFF"/>
        </w:rPr>
        <w:t xml:space="preserve"> de diciembre</w:t>
      </w:r>
      <w:r w:rsidR="00EE6E1C" w:rsidRPr="00EE6E1C">
        <w:rPr>
          <w:rFonts w:ascii="Arial Narrow" w:hAnsi="Arial Narrow" w:cs="Calibri"/>
          <w:szCs w:val="24"/>
          <w:shd w:val="clear" w:color="auto" w:fill="FFFFFF"/>
        </w:rPr>
        <w:t xml:space="preserve"> de 2020</w:t>
      </w:r>
      <w:r w:rsidR="008E3292">
        <w:rPr>
          <w:rFonts w:ascii="Arial Narrow" w:hAnsi="Arial Narrow" w:cs="Calibri"/>
          <w:szCs w:val="24"/>
          <w:shd w:val="clear" w:color="auto" w:fill="FFFFFF"/>
        </w:rPr>
        <w:t>,</w:t>
      </w:r>
      <w:r w:rsidR="00EE6E1C" w:rsidRPr="00EE6E1C">
        <w:rPr>
          <w:rFonts w:ascii="Arial Narrow" w:hAnsi="Arial Narrow" w:cs="Calibri"/>
          <w:szCs w:val="24"/>
          <w:shd w:val="clear" w:color="auto" w:fill="FFFFFF"/>
        </w:rPr>
        <w:t xml:space="preserve"> el aplicativo Consola</w:t>
      </w:r>
      <w:r w:rsidR="008240A7">
        <w:rPr>
          <w:rFonts w:ascii="Arial Narrow" w:hAnsi="Arial Narrow" w:cs="Calibri"/>
          <w:szCs w:val="24"/>
          <w:shd w:val="clear" w:color="auto" w:fill="FFFFFF"/>
        </w:rPr>
        <w:t xml:space="preserve"> </w:t>
      </w:r>
      <w:r w:rsidR="00EE6E1C" w:rsidRPr="00EE6E1C">
        <w:rPr>
          <w:rFonts w:ascii="Arial Narrow" w:hAnsi="Arial Narrow" w:cs="Calibri"/>
          <w:szCs w:val="24"/>
          <w:shd w:val="clear" w:color="auto" w:fill="FFFFFF"/>
        </w:rPr>
        <w:t>C-Taux</w:t>
      </w:r>
      <w:r w:rsidR="00890205">
        <w:rPr>
          <w:rFonts w:ascii="Arial Narrow" w:hAnsi="Arial Narrow" w:cs="Calibri"/>
          <w:szCs w:val="24"/>
          <w:shd w:val="clear" w:color="auto" w:fill="FFFFFF"/>
        </w:rPr>
        <w:t>,</w:t>
      </w:r>
      <w:r w:rsidR="00EF1D77">
        <w:rPr>
          <w:rFonts w:ascii="Arial Narrow" w:hAnsi="Arial Narrow" w:cs="Calibri"/>
          <w:szCs w:val="24"/>
          <w:shd w:val="clear" w:color="auto" w:fill="FFFFFF"/>
        </w:rPr>
        <w:t xml:space="preserve"> a través del cual se expiden los cupones con la tarifa de la contribución especial liquidada, </w:t>
      </w:r>
      <w:r w:rsidR="00EE6E1C" w:rsidRPr="00EE6E1C">
        <w:rPr>
          <w:rFonts w:ascii="Arial Narrow" w:hAnsi="Arial Narrow" w:cs="Calibri"/>
          <w:szCs w:val="24"/>
          <w:shd w:val="clear" w:color="auto" w:fill="FFFFFF"/>
        </w:rPr>
        <w:t xml:space="preserve"> es</w:t>
      </w:r>
      <w:r w:rsidR="008E3292">
        <w:rPr>
          <w:rFonts w:ascii="Arial Narrow" w:hAnsi="Arial Narrow" w:cs="Calibri"/>
          <w:szCs w:val="24"/>
          <w:shd w:val="clear" w:color="auto" w:fill="FFFFFF"/>
        </w:rPr>
        <w:t xml:space="preserve">tuvo </w:t>
      </w:r>
      <w:r w:rsidR="00EE6E1C" w:rsidRPr="00EE6E1C">
        <w:rPr>
          <w:rFonts w:ascii="Arial Narrow" w:hAnsi="Arial Narrow" w:cs="Calibri"/>
          <w:szCs w:val="24"/>
          <w:shd w:val="clear" w:color="auto" w:fill="FFFFFF"/>
        </w:rPr>
        <w:t xml:space="preserve">suspendido </w:t>
      </w:r>
      <w:r w:rsidR="00EF1D77">
        <w:rPr>
          <w:rFonts w:ascii="Arial Narrow" w:hAnsi="Arial Narrow" w:cs="Calibri"/>
          <w:szCs w:val="24"/>
          <w:shd w:val="clear" w:color="auto" w:fill="FFFFFF"/>
        </w:rPr>
        <w:t xml:space="preserve">por </w:t>
      </w:r>
      <w:r w:rsidR="00EE6E1C" w:rsidRPr="00EE6E1C">
        <w:rPr>
          <w:rFonts w:ascii="Arial Narrow" w:hAnsi="Arial Narrow" w:cs="Calibri"/>
          <w:szCs w:val="24"/>
          <w:shd w:val="clear" w:color="auto" w:fill="FFFFFF"/>
        </w:rPr>
        <w:t xml:space="preserve"> </w:t>
      </w:r>
      <w:r w:rsidR="00EF1D77">
        <w:rPr>
          <w:rFonts w:ascii="Arial Narrow" w:hAnsi="Arial Narrow" w:cs="Calibri"/>
          <w:szCs w:val="24"/>
          <w:shd w:val="clear" w:color="auto" w:fill="FFFFFF"/>
        </w:rPr>
        <w:t xml:space="preserve">los </w:t>
      </w:r>
      <w:r w:rsidR="00EE6E1C" w:rsidRPr="00EE6E1C">
        <w:rPr>
          <w:rFonts w:ascii="Arial Narrow" w:hAnsi="Arial Narrow" w:cs="Calibri"/>
          <w:szCs w:val="24"/>
          <w:shd w:val="clear" w:color="auto" w:fill="FFFFFF"/>
        </w:rPr>
        <w:t xml:space="preserve">mantenimientos </w:t>
      </w:r>
      <w:r w:rsidR="008E3292">
        <w:rPr>
          <w:rFonts w:ascii="Arial Narrow" w:hAnsi="Arial Narrow" w:cs="Calibri"/>
          <w:szCs w:val="24"/>
          <w:shd w:val="clear" w:color="auto" w:fill="FFFFFF"/>
        </w:rPr>
        <w:t>realizados</w:t>
      </w:r>
      <w:r w:rsidR="00EE6E1C" w:rsidRPr="00EE6E1C">
        <w:rPr>
          <w:rFonts w:ascii="Arial Narrow" w:hAnsi="Arial Narrow" w:cs="Calibri"/>
          <w:szCs w:val="24"/>
          <w:shd w:val="clear" w:color="auto" w:fill="FFFFFF"/>
        </w:rPr>
        <w:t xml:space="preserve"> en el </w:t>
      </w:r>
      <w:r w:rsidR="008E3292">
        <w:rPr>
          <w:rFonts w:ascii="Arial Narrow" w:hAnsi="Arial Narrow" w:cs="Calibri"/>
          <w:szCs w:val="24"/>
          <w:shd w:val="clear" w:color="auto" w:fill="FFFFFF"/>
        </w:rPr>
        <w:t>s</w:t>
      </w:r>
      <w:r w:rsidR="00EE6E1C" w:rsidRPr="00EE6E1C">
        <w:rPr>
          <w:rFonts w:ascii="Arial Narrow" w:hAnsi="Arial Narrow" w:cs="Calibri"/>
          <w:szCs w:val="24"/>
          <w:shd w:val="clear" w:color="auto" w:fill="FFFFFF"/>
        </w:rPr>
        <w:t>ervidor de la Superintendencia de Transporte</w:t>
      </w:r>
      <w:r w:rsidR="00EE6E1C">
        <w:rPr>
          <w:rFonts w:ascii="Arial Narrow" w:hAnsi="Arial Narrow" w:cs="Calibri"/>
          <w:szCs w:val="24"/>
          <w:shd w:val="clear" w:color="auto" w:fill="FFFFFF"/>
        </w:rPr>
        <w:t>.</w:t>
      </w:r>
    </w:p>
    <w:p w14:paraId="03A08D33" w14:textId="4F23DD88" w:rsidR="008E3292" w:rsidRPr="00890205" w:rsidRDefault="00890205" w:rsidP="00890205">
      <w:pPr>
        <w:pStyle w:val="Prrafodelista"/>
        <w:ind w:left="360"/>
        <w:jc w:val="both"/>
        <w:rPr>
          <w:rFonts w:ascii="Arial Narrow" w:hAnsi="Arial Narrow" w:cs="Calibri"/>
          <w:szCs w:val="24"/>
          <w:shd w:val="clear" w:color="auto" w:fill="FFFFFF"/>
        </w:rPr>
      </w:pPr>
      <w:r>
        <w:rPr>
          <w:rFonts w:ascii="Arial Narrow" w:hAnsi="Arial Narrow" w:cs="Calibri"/>
          <w:szCs w:val="24"/>
          <w:shd w:val="clear" w:color="auto" w:fill="FFFFFF"/>
        </w:rPr>
        <w:t xml:space="preserve"> </w:t>
      </w:r>
    </w:p>
    <w:p w14:paraId="7CFAA2F0" w14:textId="717D6E48" w:rsidR="008E3292" w:rsidRPr="0053575A" w:rsidRDefault="008E3292" w:rsidP="00EE6E1C">
      <w:pPr>
        <w:pStyle w:val="Prrafodelista"/>
        <w:numPr>
          <w:ilvl w:val="1"/>
          <w:numId w:val="7"/>
        </w:numPr>
        <w:jc w:val="both"/>
        <w:rPr>
          <w:rFonts w:ascii="Arial Narrow" w:hAnsi="Arial Narrow" w:cs="Calibri"/>
          <w:szCs w:val="24"/>
          <w:shd w:val="clear" w:color="auto" w:fill="FFFFFF"/>
        </w:rPr>
      </w:pPr>
      <w:r w:rsidRPr="0053575A">
        <w:rPr>
          <w:rFonts w:ascii="Arial Narrow" w:hAnsi="Arial Narrow" w:cs="Calibri"/>
          <w:szCs w:val="24"/>
          <w:shd w:val="clear" w:color="auto" w:fill="FFFFFF"/>
        </w:rPr>
        <w:t xml:space="preserve">Que el 28 de diciembre de 2020, el Banco de Occidente </w:t>
      </w:r>
      <w:r w:rsidR="00EF1D77">
        <w:rPr>
          <w:rFonts w:ascii="Arial Narrow" w:hAnsi="Arial Narrow" w:cs="Calibri"/>
          <w:szCs w:val="24"/>
          <w:shd w:val="clear" w:color="auto" w:fill="FFFFFF"/>
        </w:rPr>
        <w:t xml:space="preserve">– entidad financiera a través de la cual se reciben los pagos de la contribución especial-, </w:t>
      </w:r>
      <w:r w:rsidRPr="0053575A">
        <w:rPr>
          <w:rFonts w:ascii="Arial Narrow" w:hAnsi="Arial Narrow" w:cs="Calibri"/>
          <w:szCs w:val="24"/>
          <w:shd w:val="clear" w:color="auto" w:fill="FFFFFF"/>
        </w:rPr>
        <w:t xml:space="preserve">manifestó que el 31 de diciembre de 2020 no </w:t>
      </w:r>
      <w:r w:rsidR="003857D6" w:rsidRPr="0053575A">
        <w:rPr>
          <w:rFonts w:ascii="Arial Narrow" w:hAnsi="Arial Narrow" w:cs="Calibri"/>
          <w:szCs w:val="24"/>
          <w:shd w:val="clear" w:color="auto" w:fill="FFFFFF"/>
        </w:rPr>
        <w:t xml:space="preserve">prestaría </w:t>
      </w:r>
      <w:r w:rsidRPr="0053575A">
        <w:rPr>
          <w:rFonts w:ascii="Arial Narrow" w:hAnsi="Arial Narrow" w:cs="Calibri"/>
          <w:szCs w:val="24"/>
          <w:shd w:val="clear" w:color="auto" w:fill="FFFFFF"/>
        </w:rPr>
        <w:t xml:space="preserve">los servicios </w:t>
      </w:r>
      <w:r w:rsidR="003B1FE9" w:rsidRPr="0053575A">
        <w:rPr>
          <w:rFonts w:ascii="Arial Narrow" w:hAnsi="Arial Narrow" w:cs="Calibri"/>
          <w:szCs w:val="24"/>
          <w:shd w:val="clear" w:color="auto" w:fill="FFFFFF"/>
        </w:rPr>
        <w:t xml:space="preserve">de recaudo </w:t>
      </w:r>
      <w:r w:rsidR="003857D6" w:rsidRPr="0053575A">
        <w:rPr>
          <w:rFonts w:ascii="Arial Narrow" w:hAnsi="Arial Narrow" w:cs="Calibri"/>
          <w:szCs w:val="24"/>
          <w:shd w:val="clear" w:color="auto" w:fill="FFFFFF"/>
        </w:rPr>
        <w:t>en oficina a</w:t>
      </w:r>
      <w:r w:rsidR="003B1FE9" w:rsidRPr="0053575A">
        <w:rPr>
          <w:rFonts w:ascii="Arial Narrow" w:hAnsi="Arial Narrow" w:cs="Calibri"/>
          <w:szCs w:val="24"/>
          <w:shd w:val="clear" w:color="auto" w:fill="FFFFFF"/>
        </w:rPr>
        <w:t xml:space="preserve"> través de código de barras</w:t>
      </w:r>
      <w:r w:rsidR="003857D6" w:rsidRPr="0053575A">
        <w:rPr>
          <w:rFonts w:ascii="Arial Narrow" w:hAnsi="Arial Narrow" w:cs="Calibri"/>
          <w:szCs w:val="24"/>
          <w:shd w:val="clear" w:color="auto" w:fill="FFFFFF"/>
        </w:rPr>
        <w:t xml:space="preserve">, </w:t>
      </w:r>
      <w:r w:rsidR="003B1FE9" w:rsidRPr="0053575A">
        <w:rPr>
          <w:rFonts w:ascii="Arial Narrow" w:hAnsi="Arial Narrow" w:cs="Calibri"/>
          <w:szCs w:val="24"/>
          <w:shd w:val="clear" w:color="auto" w:fill="FFFFFF"/>
        </w:rPr>
        <w:t xml:space="preserve">ni </w:t>
      </w:r>
      <w:r w:rsidR="0053575A" w:rsidRPr="0053575A">
        <w:rPr>
          <w:rFonts w:ascii="Arial Narrow" w:hAnsi="Arial Narrow" w:cs="Calibri"/>
          <w:szCs w:val="24"/>
          <w:shd w:val="clear" w:color="auto" w:fill="FFFFFF"/>
        </w:rPr>
        <w:t xml:space="preserve">estaría habilitado </w:t>
      </w:r>
      <w:r w:rsidR="003B1FE9" w:rsidRPr="0053575A">
        <w:rPr>
          <w:rFonts w:ascii="Arial Narrow" w:hAnsi="Arial Narrow" w:cs="Calibri"/>
          <w:szCs w:val="24"/>
          <w:shd w:val="clear" w:color="auto" w:fill="FFFFFF"/>
        </w:rPr>
        <w:t>el botón de pagos PSE</w:t>
      </w:r>
      <w:r w:rsidR="005A540F" w:rsidRPr="0053575A">
        <w:rPr>
          <w:rFonts w:ascii="Arial Narrow" w:hAnsi="Arial Narrow" w:cs="Calibri"/>
          <w:szCs w:val="24"/>
          <w:shd w:val="clear" w:color="auto" w:fill="FFFFFF"/>
        </w:rPr>
        <w:t xml:space="preserve">. Lo anterior, </w:t>
      </w:r>
      <w:r w:rsidR="003B1FE9" w:rsidRPr="0053575A">
        <w:rPr>
          <w:rFonts w:ascii="Arial Narrow" w:hAnsi="Arial Narrow" w:cs="Calibri"/>
          <w:szCs w:val="24"/>
          <w:shd w:val="clear" w:color="auto" w:fill="FFFFFF"/>
        </w:rPr>
        <w:t xml:space="preserve">teniendo en cuenta que el último día hábil laboral de </w:t>
      </w:r>
      <w:r w:rsidR="003857D6" w:rsidRPr="0053575A">
        <w:rPr>
          <w:rFonts w:ascii="Arial Narrow" w:hAnsi="Arial Narrow" w:cs="Calibri"/>
          <w:szCs w:val="24"/>
          <w:shd w:val="clear" w:color="auto" w:fill="FFFFFF"/>
        </w:rPr>
        <w:t>dicha entidad</w:t>
      </w:r>
      <w:r w:rsidR="003B1FE9" w:rsidRPr="0053575A">
        <w:rPr>
          <w:rFonts w:ascii="Arial Narrow" w:hAnsi="Arial Narrow" w:cs="Calibri"/>
          <w:szCs w:val="24"/>
          <w:shd w:val="clear" w:color="auto" w:fill="FFFFFF"/>
        </w:rPr>
        <w:t>, correspondía al 30 de diciembre de 2020.</w:t>
      </w:r>
    </w:p>
    <w:p w14:paraId="47375F8E" w14:textId="77777777" w:rsidR="00A500BB" w:rsidRPr="00A500BB" w:rsidRDefault="00A500BB" w:rsidP="00A500BB">
      <w:pPr>
        <w:pStyle w:val="Prrafodelista"/>
        <w:rPr>
          <w:rFonts w:ascii="Arial Narrow" w:hAnsi="Arial Narrow" w:cs="Calibri"/>
          <w:szCs w:val="24"/>
          <w:shd w:val="clear" w:color="auto" w:fill="FFFFFF"/>
        </w:rPr>
      </w:pPr>
    </w:p>
    <w:p w14:paraId="52B40059" w14:textId="71AB7CA7" w:rsidR="00EE6E1C" w:rsidRDefault="008E3292" w:rsidP="00EE6E1C">
      <w:pPr>
        <w:pStyle w:val="Prrafodelista"/>
        <w:numPr>
          <w:ilvl w:val="1"/>
          <w:numId w:val="7"/>
        </w:numPr>
        <w:jc w:val="both"/>
        <w:rPr>
          <w:rFonts w:ascii="Arial Narrow" w:hAnsi="Arial Narrow" w:cs="Calibri"/>
          <w:szCs w:val="24"/>
          <w:shd w:val="clear" w:color="auto" w:fill="FFFFFF"/>
        </w:rPr>
      </w:pPr>
      <w:r>
        <w:rPr>
          <w:rFonts w:ascii="Arial Narrow" w:hAnsi="Arial Narrow" w:cs="Calibri"/>
          <w:szCs w:val="24"/>
          <w:shd w:val="clear" w:color="auto" w:fill="FFFFFF"/>
        </w:rPr>
        <w:t xml:space="preserve">Que en virtud de lo anterior, </w:t>
      </w:r>
      <w:r w:rsidR="00EE6E1C" w:rsidRPr="00EE6E1C">
        <w:rPr>
          <w:rFonts w:ascii="Arial Narrow" w:hAnsi="Arial Narrow" w:cs="Calibri"/>
          <w:szCs w:val="24"/>
          <w:shd w:val="clear" w:color="auto" w:fill="FFFFFF"/>
        </w:rPr>
        <w:t xml:space="preserve">se considera necesario prorrogar el término establecido en la Resolución número </w:t>
      </w:r>
      <w:r w:rsidR="006B6F42" w:rsidRPr="002E37F7">
        <w:rPr>
          <w:rFonts w:ascii="Arial Narrow" w:hAnsi="Arial Narrow" w:cs="Calibri"/>
          <w:szCs w:val="24"/>
          <w:shd w:val="clear" w:color="auto" w:fill="FFFFFF"/>
        </w:rPr>
        <w:t>6257 del 2 de abril de 2020</w:t>
      </w:r>
      <w:r w:rsidR="00EE6E1C" w:rsidRPr="00EE6E1C">
        <w:rPr>
          <w:rFonts w:ascii="Arial Narrow" w:hAnsi="Arial Narrow" w:cs="Calibri"/>
          <w:szCs w:val="24"/>
          <w:shd w:val="clear" w:color="auto" w:fill="FFFFFF"/>
        </w:rPr>
        <w:t>, con la finalidad de</w:t>
      </w:r>
      <w:r w:rsidR="00EF1D77">
        <w:rPr>
          <w:rFonts w:ascii="Arial Narrow" w:hAnsi="Arial Narrow" w:cs="Calibri"/>
          <w:szCs w:val="24"/>
          <w:shd w:val="clear" w:color="auto" w:fill="FFFFFF"/>
        </w:rPr>
        <w:t xml:space="preserve"> garantizar</w:t>
      </w:r>
      <w:r w:rsidR="00EE6E1C" w:rsidRPr="00EE6E1C">
        <w:rPr>
          <w:rFonts w:ascii="Arial Narrow" w:hAnsi="Arial Narrow" w:cs="Calibri"/>
          <w:szCs w:val="24"/>
          <w:shd w:val="clear" w:color="auto" w:fill="FFFFFF"/>
        </w:rPr>
        <w:t xml:space="preserve"> </w:t>
      </w:r>
      <w:r w:rsidR="00EF1D77">
        <w:rPr>
          <w:rFonts w:ascii="Arial Narrow" w:hAnsi="Arial Narrow" w:cs="Calibri"/>
          <w:szCs w:val="24"/>
          <w:shd w:val="clear" w:color="auto" w:fill="FFFFFF"/>
        </w:rPr>
        <w:t xml:space="preserve">el acceso a las herramientas tecnológicas dispuestas para que los vigilados cumplan </w:t>
      </w:r>
      <w:r w:rsidR="00EE6E1C">
        <w:rPr>
          <w:rFonts w:ascii="Arial Narrow" w:hAnsi="Arial Narrow" w:cs="Calibri"/>
          <w:szCs w:val="24"/>
          <w:shd w:val="clear" w:color="auto" w:fill="FFFFFF"/>
        </w:rPr>
        <w:t>con el pago de la Contribución Especial de Vigilancia de la vigencia 2020.</w:t>
      </w:r>
    </w:p>
    <w:p w14:paraId="5E7E254E" w14:textId="77777777" w:rsidR="00EE6E1C" w:rsidRPr="00EE6E1C" w:rsidRDefault="00EE6E1C" w:rsidP="00EE6E1C">
      <w:pPr>
        <w:pStyle w:val="Prrafodelista"/>
        <w:rPr>
          <w:rFonts w:ascii="Arial Narrow" w:hAnsi="Arial Narrow" w:cs="Calibri"/>
          <w:szCs w:val="24"/>
          <w:shd w:val="clear" w:color="auto" w:fill="FFFFFF"/>
        </w:rPr>
      </w:pPr>
    </w:p>
    <w:p w14:paraId="0439A9A5" w14:textId="7F1BC012" w:rsidR="008E3292" w:rsidRDefault="00EE6E1C" w:rsidP="00A500BB">
      <w:pPr>
        <w:pStyle w:val="Prrafodelista"/>
        <w:numPr>
          <w:ilvl w:val="1"/>
          <w:numId w:val="7"/>
        </w:numPr>
        <w:ind w:hanging="502"/>
        <w:jc w:val="both"/>
        <w:rPr>
          <w:rFonts w:ascii="Arial Narrow" w:hAnsi="Arial Narrow" w:cs="Calibri"/>
          <w:szCs w:val="24"/>
          <w:shd w:val="clear" w:color="auto" w:fill="FFFFFF"/>
        </w:rPr>
      </w:pPr>
      <w:r>
        <w:rPr>
          <w:rFonts w:ascii="Arial Narrow" w:hAnsi="Arial Narrow" w:cs="Calibri"/>
          <w:szCs w:val="24"/>
          <w:shd w:val="clear" w:color="auto" w:fill="FFFFFF"/>
        </w:rPr>
        <w:t>Que no es necesario informar de la expedición</w:t>
      </w:r>
      <w:r w:rsidR="006B6F42">
        <w:rPr>
          <w:rFonts w:ascii="Arial Narrow" w:hAnsi="Arial Narrow" w:cs="Calibri"/>
          <w:szCs w:val="24"/>
          <w:shd w:val="clear" w:color="auto" w:fill="FFFFFF"/>
        </w:rPr>
        <w:t xml:space="preserve"> del presente acto administrativo</w:t>
      </w:r>
      <w:r w:rsidR="00E7551D">
        <w:rPr>
          <w:rFonts w:ascii="Arial Narrow" w:hAnsi="Arial Narrow" w:cs="Calibri"/>
          <w:szCs w:val="24"/>
          <w:shd w:val="clear" w:color="auto" w:fill="FFFFFF"/>
        </w:rPr>
        <w:t xml:space="preserve"> a l</w:t>
      </w:r>
      <w:r>
        <w:rPr>
          <w:rFonts w:ascii="Arial Narrow" w:hAnsi="Arial Narrow" w:cs="Calibri"/>
          <w:szCs w:val="24"/>
          <w:shd w:val="clear" w:color="auto" w:fill="FFFFFF"/>
        </w:rPr>
        <w:t>a Superintendencia de Industria y Comercio de acuerdo con lo señalado en el artículo 2.2.2</w:t>
      </w:r>
      <w:r w:rsidR="00570ED7">
        <w:rPr>
          <w:rFonts w:ascii="Arial Narrow" w:hAnsi="Arial Narrow" w:cs="Calibri"/>
          <w:szCs w:val="24"/>
          <w:shd w:val="clear" w:color="auto" w:fill="FFFFFF"/>
        </w:rPr>
        <w:t>.</w:t>
      </w:r>
      <w:r>
        <w:rPr>
          <w:rFonts w:ascii="Arial Narrow" w:hAnsi="Arial Narrow" w:cs="Calibri"/>
          <w:szCs w:val="24"/>
          <w:shd w:val="clear" w:color="auto" w:fill="FFFFFF"/>
        </w:rPr>
        <w:t>30.4 del Decreto 1074 de 2015, teniendo en cue</w:t>
      </w:r>
      <w:r w:rsidR="006B6F42">
        <w:rPr>
          <w:rFonts w:ascii="Arial Narrow" w:hAnsi="Arial Narrow" w:cs="Calibri"/>
          <w:szCs w:val="24"/>
          <w:shd w:val="clear" w:color="auto" w:fill="FFFFFF"/>
        </w:rPr>
        <w:t>nta que la presente Resolución busca ampliar los plazos para el cumplimiento de una obligación tributaria.</w:t>
      </w:r>
    </w:p>
    <w:p w14:paraId="332DC2AF" w14:textId="77777777" w:rsidR="008E3292" w:rsidRPr="008E3292" w:rsidRDefault="008E3292" w:rsidP="008E3292">
      <w:pPr>
        <w:pStyle w:val="Prrafodelista"/>
        <w:rPr>
          <w:rFonts w:ascii="Arial Narrow" w:hAnsi="Arial Narrow" w:cs="Calibri"/>
          <w:szCs w:val="24"/>
          <w:shd w:val="clear" w:color="auto" w:fill="FFFFFF"/>
        </w:rPr>
      </w:pPr>
    </w:p>
    <w:p w14:paraId="05215A1F" w14:textId="460F3554" w:rsidR="006B6F42" w:rsidRPr="008E3292" w:rsidRDefault="006B6F42" w:rsidP="006B6F42">
      <w:pPr>
        <w:pStyle w:val="Prrafodelista"/>
        <w:numPr>
          <w:ilvl w:val="1"/>
          <w:numId w:val="7"/>
        </w:numPr>
        <w:ind w:hanging="502"/>
        <w:jc w:val="both"/>
        <w:rPr>
          <w:rFonts w:ascii="Arial Narrow" w:hAnsi="Arial Narrow" w:cs="Calibri"/>
          <w:szCs w:val="24"/>
          <w:shd w:val="clear" w:color="auto" w:fill="FFFFFF"/>
        </w:rPr>
      </w:pPr>
      <w:r w:rsidRPr="008E3292">
        <w:rPr>
          <w:rFonts w:ascii="Arial Narrow" w:hAnsi="Arial Narrow" w:cs="Calibri"/>
          <w:szCs w:val="24"/>
          <w:shd w:val="clear" w:color="auto" w:fill="FFFFFF"/>
        </w:rPr>
        <w:t xml:space="preserve">Que esta Resolución se publicó para comentarios en la página Web de la Superintendencia de Transporte, los </w:t>
      </w:r>
      <w:r w:rsidR="00A15938">
        <w:rPr>
          <w:rFonts w:ascii="Arial Narrow" w:hAnsi="Arial Narrow" w:cs="Calibri"/>
          <w:szCs w:val="24"/>
          <w:shd w:val="clear" w:color="auto" w:fill="FFFFFF"/>
        </w:rPr>
        <w:t>soportes apreciados en conjunto</w:t>
      </w:r>
      <w:r w:rsidRPr="008E3292">
        <w:rPr>
          <w:rFonts w:ascii="Arial Narrow" w:hAnsi="Arial Narrow" w:cs="Calibri"/>
          <w:szCs w:val="24"/>
          <w:shd w:val="clear" w:color="auto" w:fill="FFFFFF"/>
        </w:rPr>
        <w:t xml:space="preserve"> conforman el acervo probatorio del caso y reposan en la Dirección Financiera.</w:t>
      </w:r>
    </w:p>
    <w:p w14:paraId="6B8AF84E" w14:textId="77777777" w:rsidR="006B6F42" w:rsidRPr="00DC1E65" w:rsidRDefault="006B6F42" w:rsidP="006B6F42">
      <w:pPr>
        <w:pStyle w:val="Prrafodelista"/>
        <w:ind w:left="360" w:right="50"/>
        <w:jc w:val="both"/>
        <w:rPr>
          <w:rFonts w:ascii="Arial Narrow" w:hAnsi="Arial Narrow" w:cs="Calibri"/>
          <w:szCs w:val="24"/>
          <w:shd w:val="clear" w:color="auto" w:fill="FFFFFF"/>
        </w:rPr>
      </w:pPr>
    </w:p>
    <w:p w14:paraId="4D64A625" w14:textId="257C2905" w:rsidR="006B6F42" w:rsidRDefault="006B6F42" w:rsidP="006B6F42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  <w:r w:rsidRPr="00CA2131">
        <w:rPr>
          <w:rFonts w:ascii="Arial Narrow" w:hAnsi="Arial Narrow" w:cs="Calibri"/>
          <w:sz w:val="24"/>
          <w:szCs w:val="24"/>
          <w:shd w:val="clear" w:color="auto" w:fill="FFFFFF"/>
        </w:rPr>
        <w:t>Conforme con lo expuesto, este Despacho</w:t>
      </w:r>
      <w:r w:rsidR="008E3292">
        <w:rPr>
          <w:rFonts w:ascii="Arial Narrow" w:hAnsi="Arial Narrow" w:cs="Calibri"/>
          <w:sz w:val="24"/>
          <w:szCs w:val="24"/>
          <w:shd w:val="clear" w:color="auto" w:fill="FFFFFF"/>
        </w:rPr>
        <w:t>:</w:t>
      </w:r>
    </w:p>
    <w:p w14:paraId="2946C32B" w14:textId="77777777" w:rsidR="006B6F42" w:rsidRPr="00CA2131" w:rsidRDefault="006B6F42" w:rsidP="006B6F42">
      <w:pPr>
        <w:ind w:right="50"/>
        <w:rPr>
          <w:rFonts w:ascii="Arial Narrow" w:hAnsi="Arial Narrow" w:cs="Calibri"/>
          <w:sz w:val="24"/>
          <w:szCs w:val="24"/>
          <w:shd w:val="clear" w:color="auto" w:fill="FFFFFF"/>
        </w:rPr>
      </w:pPr>
    </w:p>
    <w:p w14:paraId="1ABA076A" w14:textId="4DB8D602" w:rsidR="006B6F42" w:rsidRPr="00CA2131" w:rsidRDefault="006B6F42" w:rsidP="00570ED7">
      <w:pPr>
        <w:pStyle w:val="Prrafodelista"/>
        <w:numPr>
          <w:ilvl w:val="0"/>
          <w:numId w:val="10"/>
        </w:numPr>
        <w:ind w:right="50"/>
        <w:jc w:val="center"/>
        <w:rPr>
          <w:rFonts w:ascii="Arial Narrow" w:hAnsi="Arial Narrow" w:cs="Calibri"/>
          <w:b/>
          <w:szCs w:val="24"/>
          <w:shd w:val="clear" w:color="auto" w:fill="FFFFFF"/>
        </w:rPr>
      </w:pPr>
      <w:r w:rsidRPr="00CA2131">
        <w:rPr>
          <w:rFonts w:ascii="Arial Narrow" w:hAnsi="Arial Narrow" w:cs="Calibri"/>
          <w:b/>
          <w:szCs w:val="24"/>
          <w:shd w:val="clear" w:color="auto" w:fill="FFFFFF"/>
        </w:rPr>
        <w:t>RESUELVE</w:t>
      </w:r>
    </w:p>
    <w:p w14:paraId="6DBB2939" w14:textId="77777777" w:rsidR="006B6F42" w:rsidRPr="00CA2131" w:rsidRDefault="006B6F42" w:rsidP="006B6F42">
      <w:pPr>
        <w:ind w:right="50"/>
        <w:rPr>
          <w:rFonts w:ascii="Arial Narrow" w:hAnsi="Arial Narrow" w:cs="Calibri"/>
          <w:sz w:val="24"/>
          <w:szCs w:val="24"/>
          <w:shd w:val="clear" w:color="auto" w:fill="FFFFFF"/>
        </w:rPr>
      </w:pPr>
    </w:p>
    <w:p w14:paraId="402966FE" w14:textId="2C90832C" w:rsidR="006B6F42" w:rsidRPr="00CA2131" w:rsidRDefault="006B6F42" w:rsidP="006B6F42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  <w:r>
        <w:rPr>
          <w:rFonts w:ascii="Arial Narrow" w:hAnsi="Arial Narrow" w:cs="Calibri"/>
          <w:b/>
          <w:sz w:val="24"/>
          <w:szCs w:val="24"/>
          <w:shd w:val="clear" w:color="auto" w:fill="FFFFFF"/>
        </w:rPr>
        <w:t>Artículo Primero:</w:t>
      </w:r>
      <w:r w:rsidRPr="00CA2131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 </w:t>
      </w:r>
      <w:r w:rsidR="00A15938" w:rsidRPr="00CA2131">
        <w:rPr>
          <w:rFonts w:ascii="Arial Narrow" w:hAnsi="Arial Narrow" w:cs="Calibri"/>
          <w:b/>
          <w:sz w:val="24"/>
          <w:szCs w:val="24"/>
          <w:shd w:val="clear" w:color="auto" w:fill="FFFFFF"/>
        </w:rPr>
        <w:t>Prorróguese</w:t>
      </w:r>
      <w:r w:rsidRPr="00CA2131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 </w:t>
      </w:r>
      <w:r w:rsidRPr="00CA2131">
        <w:rPr>
          <w:rFonts w:ascii="Arial Narrow" w:hAnsi="Arial Narrow" w:cs="Calibri"/>
          <w:bCs/>
          <w:sz w:val="24"/>
          <w:szCs w:val="24"/>
          <w:shd w:val="clear" w:color="auto" w:fill="FFFFFF"/>
        </w:rPr>
        <w:t xml:space="preserve">el término señalado en el artículo </w:t>
      </w:r>
      <w:r w:rsidR="00570ED7">
        <w:rPr>
          <w:rFonts w:ascii="Arial Narrow" w:hAnsi="Arial Narrow" w:cs="Calibri"/>
          <w:bCs/>
          <w:sz w:val="24"/>
          <w:szCs w:val="24"/>
          <w:shd w:val="clear" w:color="auto" w:fill="FFFFFF"/>
        </w:rPr>
        <w:t>segundo</w:t>
      </w:r>
      <w:r w:rsidRPr="00CA2131">
        <w:rPr>
          <w:rFonts w:ascii="Arial Narrow" w:hAnsi="Arial Narrow" w:cs="Calibri"/>
          <w:bCs/>
          <w:sz w:val="24"/>
          <w:szCs w:val="24"/>
          <w:shd w:val="clear" w:color="auto" w:fill="FFFFFF"/>
        </w:rPr>
        <w:t xml:space="preserve"> de la Resolución</w:t>
      </w:r>
      <w:r w:rsidRPr="00CA2131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 </w:t>
      </w:r>
      <w:r w:rsidR="008E3292" w:rsidRPr="008E3292">
        <w:rPr>
          <w:rFonts w:ascii="Arial Narrow" w:hAnsi="Arial Narrow" w:cs="Calibri"/>
          <w:bCs/>
          <w:sz w:val="24"/>
          <w:szCs w:val="24"/>
          <w:shd w:val="clear" w:color="auto" w:fill="FFFFFF"/>
        </w:rPr>
        <w:t xml:space="preserve">número </w:t>
      </w:r>
      <w:r w:rsidRPr="006B6F42">
        <w:rPr>
          <w:rFonts w:ascii="Arial Narrow" w:hAnsi="Arial Narrow" w:cs="Arial"/>
          <w:sz w:val="24"/>
          <w:szCs w:val="22"/>
          <w:lang w:val="es-ES"/>
        </w:rPr>
        <w:t>6257 del 2 de abril de 2020</w:t>
      </w:r>
      <w:r w:rsidRPr="00CA2131">
        <w:rPr>
          <w:rFonts w:ascii="Arial Narrow" w:hAnsi="Arial Narrow" w:cs="Arial"/>
          <w:szCs w:val="22"/>
          <w:lang w:val="es-ES"/>
        </w:rPr>
        <w:t xml:space="preserve"> </w:t>
      </w:r>
      <w:r w:rsidRPr="00CA2131">
        <w:rPr>
          <w:rFonts w:ascii="Arial Narrow" w:hAnsi="Arial Narrow" w:cs="Calibri"/>
          <w:bCs/>
          <w:sz w:val="24"/>
          <w:szCs w:val="24"/>
          <w:shd w:val="clear" w:color="auto" w:fill="FFFFFF"/>
        </w:rPr>
        <w:t xml:space="preserve">para el </w:t>
      </w:r>
      <w:r>
        <w:rPr>
          <w:rFonts w:ascii="Arial Narrow" w:hAnsi="Arial Narrow" w:cs="Calibri"/>
          <w:bCs/>
          <w:sz w:val="24"/>
          <w:szCs w:val="24"/>
          <w:shd w:val="clear" w:color="auto" w:fill="FFFFFF"/>
        </w:rPr>
        <w:t xml:space="preserve">pago de la primera y segunda cuota de la Contribución Especial de Vigilancia de la vigencia 2020 </w:t>
      </w:r>
      <w:r w:rsidRPr="00CA2131">
        <w:rPr>
          <w:rFonts w:ascii="Arial Narrow" w:hAnsi="Arial Narrow" w:cs="Calibri"/>
          <w:bCs/>
          <w:sz w:val="24"/>
          <w:szCs w:val="24"/>
          <w:shd w:val="clear" w:color="auto" w:fill="FFFFFF"/>
        </w:rPr>
        <w:t xml:space="preserve">hasta </w:t>
      </w:r>
      <w:r w:rsidRPr="0053575A">
        <w:rPr>
          <w:rFonts w:ascii="Arial Narrow" w:hAnsi="Arial Narrow" w:cs="Calibri"/>
          <w:bCs/>
          <w:sz w:val="24"/>
          <w:szCs w:val="24"/>
          <w:shd w:val="clear" w:color="auto" w:fill="FFFFFF"/>
        </w:rPr>
        <w:t xml:space="preserve">el </w:t>
      </w:r>
      <w:r w:rsidR="0053575A" w:rsidRPr="00A029A6">
        <w:rPr>
          <w:rFonts w:ascii="Arial Narrow" w:hAnsi="Arial Narrow" w:cs="Calibri"/>
          <w:bCs/>
          <w:sz w:val="24"/>
          <w:szCs w:val="24"/>
          <w:shd w:val="clear" w:color="auto" w:fill="FFFFFF"/>
        </w:rPr>
        <w:t>11</w:t>
      </w:r>
      <w:r w:rsidR="00A500BB" w:rsidRPr="00A029A6">
        <w:rPr>
          <w:rFonts w:ascii="Arial Narrow" w:hAnsi="Arial Narrow" w:cs="Calibri"/>
          <w:bCs/>
          <w:sz w:val="24"/>
          <w:szCs w:val="24"/>
          <w:shd w:val="clear" w:color="auto" w:fill="FFFFFF"/>
        </w:rPr>
        <w:t xml:space="preserve"> de enero de 2020.</w:t>
      </w:r>
    </w:p>
    <w:p w14:paraId="0F60FEB6" w14:textId="77777777" w:rsidR="006B6F42" w:rsidRPr="00CA2131" w:rsidRDefault="006B6F42" w:rsidP="006B6F42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</w:p>
    <w:p w14:paraId="171836D4" w14:textId="5AD9FFC3" w:rsidR="006B6F42" w:rsidRPr="00CA2131" w:rsidRDefault="006B6F42" w:rsidP="006B6F42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  <w:r w:rsidRPr="00CA2131">
        <w:rPr>
          <w:rFonts w:ascii="Arial Narrow" w:hAnsi="Arial Narrow" w:cs="Calibri"/>
          <w:b/>
          <w:sz w:val="24"/>
          <w:szCs w:val="24"/>
          <w:shd w:val="clear" w:color="auto" w:fill="FFFFFF"/>
        </w:rPr>
        <w:lastRenderedPageBreak/>
        <w:t>Artículo Segundo</w:t>
      </w:r>
      <w:r>
        <w:rPr>
          <w:rFonts w:ascii="Arial Narrow" w:hAnsi="Arial Narrow" w:cs="Calibri"/>
          <w:b/>
          <w:sz w:val="24"/>
          <w:szCs w:val="24"/>
          <w:shd w:val="clear" w:color="auto" w:fill="FFFFFF"/>
        </w:rPr>
        <w:t>:</w:t>
      </w:r>
      <w:r w:rsidRPr="00CA2131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 </w:t>
      </w:r>
      <w:r w:rsidRPr="00CA2131">
        <w:rPr>
          <w:rFonts w:ascii="Arial Narrow" w:hAnsi="Arial Narrow" w:cs="Calibri"/>
          <w:bCs/>
          <w:sz w:val="24"/>
          <w:szCs w:val="24"/>
          <w:shd w:val="clear" w:color="auto" w:fill="FFFFFF"/>
        </w:rPr>
        <w:t xml:space="preserve">Los demás aspectos, parámetros y normas contenidas en la Resolución </w:t>
      </w:r>
      <w:r w:rsidRPr="006B6F42">
        <w:rPr>
          <w:rFonts w:ascii="Arial Narrow" w:hAnsi="Arial Narrow" w:cs="Arial"/>
          <w:sz w:val="24"/>
          <w:szCs w:val="22"/>
          <w:lang w:val="es-ES"/>
        </w:rPr>
        <w:t>6257 del 2 de abril de 2020</w:t>
      </w:r>
      <w:r w:rsidRPr="00CA2131">
        <w:rPr>
          <w:rFonts w:ascii="Arial Narrow" w:hAnsi="Arial Narrow" w:cs="Arial"/>
          <w:sz w:val="24"/>
          <w:szCs w:val="22"/>
          <w:lang w:val="es-ES"/>
        </w:rPr>
        <w:t>, contin</w:t>
      </w:r>
      <w:r w:rsidR="00EF1D77">
        <w:rPr>
          <w:rFonts w:ascii="Arial Narrow" w:hAnsi="Arial Narrow" w:cs="Arial"/>
          <w:sz w:val="24"/>
          <w:szCs w:val="22"/>
          <w:lang w:val="es-ES"/>
        </w:rPr>
        <w:t xml:space="preserve">úan vigentes y surten </w:t>
      </w:r>
      <w:r w:rsidRPr="00CA2131">
        <w:rPr>
          <w:rFonts w:ascii="Arial Narrow" w:hAnsi="Arial Narrow" w:cs="Arial"/>
          <w:sz w:val="24"/>
          <w:szCs w:val="22"/>
          <w:lang w:val="es-ES"/>
        </w:rPr>
        <w:t xml:space="preserve"> plenos efectos.</w:t>
      </w:r>
    </w:p>
    <w:p w14:paraId="16FC2B06" w14:textId="77777777" w:rsidR="006B6F42" w:rsidRPr="00CA2131" w:rsidRDefault="006B6F42" w:rsidP="006B6F42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</w:p>
    <w:p w14:paraId="630B4E02" w14:textId="423986D8" w:rsidR="006B6F42" w:rsidRDefault="006B6F42" w:rsidP="006B6F42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  <w:r w:rsidRPr="00CA2131">
        <w:rPr>
          <w:rFonts w:ascii="Arial Narrow" w:hAnsi="Arial Narrow" w:cs="Calibri"/>
          <w:b/>
          <w:sz w:val="24"/>
          <w:szCs w:val="24"/>
          <w:shd w:val="clear" w:color="auto" w:fill="FFFFFF"/>
        </w:rPr>
        <w:t>Artículo Tercero</w:t>
      </w:r>
      <w:r>
        <w:rPr>
          <w:rFonts w:ascii="Arial Narrow" w:hAnsi="Arial Narrow" w:cs="Calibri"/>
          <w:b/>
          <w:sz w:val="24"/>
          <w:szCs w:val="24"/>
          <w:shd w:val="clear" w:color="auto" w:fill="FFFFFF"/>
        </w:rPr>
        <w:t>:</w:t>
      </w:r>
      <w:r w:rsidRPr="00CA2131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 Publicación. </w:t>
      </w:r>
      <w:r w:rsidR="00EF1D77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Ordenar </w:t>
      </w:r>
      <w:r w:rsidR="00EF1D77" w:rsidRPr="008240A7">
        <w:rPr>
          <w:rFonts w:ascii="Arial Narrow" w:hAnsi="Arial Narrow" w:cs="Calibri"/>
          <w:sz w:val="24"/>
          <w:szCs w:val="24"/>
          <w:shd w:val="clear" w:color="auto" w:fill="FFFFFF"/>
        </w:rPr>
        <w:t>la publicación de</w:t>
      </w:r>
      <w:r w:rsidR="00EF1D77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 </w:t>
      </w:r>
      <w:r w:rsidR="00EF1D77">
        <w:rPr>
          <w:rFonts w:ascii="Arial Narrow" w:hAnsi="Arial Narrow" w:cs="Calibri"/>
          <w:sz w:val="24"/>
          <w:szCs w:val="24"/>
          <w:shd w:val="clear" w:color="auto" w:fill="FFFFFF"/>
        </w:rPr>
        <w:t>l</w:t>
      </w:r>
      <w:r w:rsidRPr="00CA2131">
        <w:rPr>
          <w:rFonts w:ascii="Arial Narrow" w:hAnsi="Arial Narrow" w:cs="Calibri"/>
          <w:sz w:val="24"/>
          <w:szCs w:val="24"/>
          <w:shd w:val="clear" w:color="auto" w:fill="FFFFFF"/>
        </w:rPr>
        <w:t>a presente Resolución en la página web de la entidad y en el Diario Oficial.</w:t>
      </w:r>
    </w:p>
    <w:p w14:paraId="43BC91D8" w14:textId="77777777" w:rsidR="006B6F42" w:rsidRPr="00CA2131" w:rsidRDefault="006B6F42" w:rsidP="006B6F42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</w:p>
    <w:p w14:paraId="3433F39F" w14:textId="77777777" w:rsidR="006B6F42" w:rsidRPr="00CA2131" w:rsidRDefault="006B6F42" w:rsidP="006B6F42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  <w:r w:rsidRPr="00CA2131">
        <w:rPr>
          <w:rFonts w:ascii="Arial Narrow" w:hAnsi="Arial Narrow" w:cs="Calibri"/>
          <w:b/>
          <w:sz w:val="24"/>
          <w:szCs w:val="24"/>
          <w:shd w:val="clear" w:color="auto" w:fill="FFFFFF"/>
        </w:rPr>
        <w:t>Artículo Cuarto</w:t>
      </w:r>
      <w:r>
        <w:rPr>
          <w:rFonts w:ascii="Arial Narrow" w:hAnsi="Arial Narrow" w:cs="Calibri"/>
          <w:b/>
          <w:sz w:val="24"/>
          <w:szCs w:val="24"/>
          <w:shd w:val="clear" w:color="auto" w:fill="FFFFFF"/>
        </w:rPr>
        <w:t>:</w:t>
      </w:r>
      <w:r w:rsidRPr="00CA2131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 Vigencia.</w:t>
      </w:r>
      <w:r w:rsidRPr="00CA2131">
        <w:rPr>
          <w:rFonts w:ascii="Arial Narrow" w:hAnsi="Arial Narrow" w:cs="Calibri"/>
          <w:sz w:val="24"/>
          <w:szCs w:val="24"/>
          <w:shd w:val="clear" w:color="auto" w:fill="FFFFFF"/>
        </w:rPr>
        <w:t xml:space="preserve"> La presente Resolución rige a partir de la fecha de su publicación en el Diario Oficial. </w:t>
      </w:r>
    </w:p>
    <w:p w14:paraId="4815E0AB" w14:textId="77777777" w:rsidR="006B6F42" w:rsidRDefault="006B6F42" w:rsidP="006B6F42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</w:p>
    <w:p w14:paraId="0A58EC05" w14:textId="77777777" w:rsidR="006B6F42" w:rsidRPr="00CA2131" w:rsidRDefault="006B6F42" w:rsidP="006B6F42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</w:p>
    <w:p w14:paraId="106344E0" w14:textId="77777777" w:rsidR="006B6F42" w:rsidRPr="00CA2131" w:rsidRDefault="006B6F42" w:rsidP="006B6F42">
      <w:pPr>
        <w:ind w:right="50"/>
        <w:jc w:val="center"/>
        <w:rPr>
          <w:rFonts w:ascii="Arial Narrow" w:hAnsi="Arial Narrow" w:cs="Calibri"/>
          <w:b/>
          <w:sz w:val="24"/>
          <w:szCs w:val="24"/>
          <w:shd w:val="clear" w:color="auto" w:fill="FFFFFF"/>
        </w:rPr>
      </w:pPr>
      <w:r w:rsidRPr="00CA2131">
        <w:rPr>
          <w:rFonts w:ascii="Arial Narrow" w:hAnsi="Arial Narrow" w:cs="Calibri"/>
          <w:b/>
          <w:sz w:val="24"/>
          <w:szCs w:val="24"/>
          <w:shd w:val="clear" w:color="auto" w:fill="FFFFFF"/>
        </w:rPr>
        <w:t>PUBLÍQUESE Y CÚMPLASE</w:t>
      </w:r>
    </w:p>
    <w:p w14:paraId="4B55FCAC" w14:textId="77777777" w:rsidR="006B6F42" w:rsidRPr="00CA2131" w:rsidRDefault="006B6F42" w:rsidP="006B6F42">
      <w:pPr>
        <w:ind w:right="50"/>
        <w:jc w:val="center"/>
        <w:rPr>
          <w:rFonts w:ascii="Arial Narrow" w:hAnsi="Arial Narrow" w:cs="Calibri"/>
          <w:b/>
          <w:sz w:val="24"/>
          <w:szCs w:val="24"/>
          <w:shd w:val="clear" w:color="auto" w:fill="FFFFFF"/>
        </w:rPr>
      </w:pPr>
      <w:r w:rsidRPr="00CA2131">
        <w:rPr>
          <w:rFonts w:ascii="Arial Narrow" w:hAnsi="Arial Narrow" w:cs="Calibri"/>
          <w:sz w:val="24"/>
          <w:szCs w:val="24"/>
          <w:shd w:val="clear" w:color="auto" w:fill="FFFFFF"/>
        </w:rPr>
        <w:t>Dada en Bogotá D.C., a los</w:t>
      </w:r>
    </w:p>
    <w:p w14:paraId="3CCB2E46" w14:textId="77777777" w:rsidR="006B6F42" w:rsidRPr="00CA2131" w:rsidRDefault="006B6F42" w:rsidP="006B6F42">
      <w:pPr>
        <w:ind w:right="50"/>
        <w:rPr>
          <w:rFonts w:ascii="Arial Narrow" w:hAnsi="Arial Narrow" w:cs="Calibri"/>
          <w:b/>
          <w:sz w:val="24"/>
          <w:szCs w:val="24"/>
          <w:shd w:val="clear" w:color="auto" w:fill="FFFFFF"/>
          <w:lang w:val="es-ES"/>
        </w:rPr>
      </w:pPr>
    </w:p>
    <w:p w14:paraId="59BAFA76" w14:textId="77777777" w:rsidR="006B6F42" w:rsidRDefault="006B6F42" w:rsidP="006B6F42">
      <w:pPr>
        <w:ind w:right="50"/>
        <w:rPr>
          <w:rFonts w:ascii="Arial Narrow" w:hAnsi="Arial Narrow" w:cs="Calibri"/>
          <w:b/>
          <w:sz w:val="24"/>
          <w:szCs w:val="24"/>
          <w:shd w:val="clear" w:color="auto" w:fill="FFFFFF"/>
          <w:lang w:val="es-ES"/>
        </w:rPr>
      </w:pPr>
    </w:p>
    <w:p w14:paraId="75276232" w14:textId="77777777" w:rsidR="006B6F42" w:rsidRPr="00CA2131" w:rsidRDefault="006B6F42" w:rsidP="006B6F42">
      <w:pPr>
        <w:ind w:right="50"/>
        <w:rPr>
          <w:rFonts w:ascii="Arial Narrow" w:hAnsi="Arial Narrow" w:cs="Calibri"/>
          <w:b/>
          <w:sz w:val="24"/>
          <w:szCs w:val="24"/>
          <w:shd w:val="clear" w:color="auto" w:fill="FFFFFF"/>
          <w:lang w:val="es-ES"/>
        </w:rPr>
      </w:pPr>
    </w:p>
    <w:p w14:paraId="02EF167F" w14:textId="77777777" w:rsidR="006B6F42" w:rsidRPr="00CA2131" w:rsidRDefault="006B6F42" w:rsidP="006B6F42">
      <w:pPr>
        <w:ind w:right="50"/>
        <w:rPr>
          <w:rFonts w:ascii="Arial Narrow" w:hAnsi="Arial Narrow" w:cs="Calibri"/>
          <w:sz w:val="24"/>
          <w:szCs w:val="24"/>
          <w:shd w:val="clear" w:color="auto" w:fill="FFFFFF"/>
          <w:lang w:val="es-ES"/>
        </w:rPr>
      </w:pPr>
      <w:r w:rsidRPr="00CA2131">
        <w:rPr>
          <w:rFonts w:ascii="Arial Narrow" w:hAnsi="Arial Narrow" w:cs="Calibri"/>
          <w:sz w:val="24"/>
          <w:szCs w:val="24"/>
          <w:shd w:val="clear" w:color="auto" w:fill="FFFFFF"/>
          <w:lang w:val="es-ES"/>
        </w:rPr>
        <w:t>El Superintendente de Transporte,</w:t>
      </w:r>
    </w:p>
    <w:p w14:paraId="293EC334" w14:textId="77777777" w:rsidR="006B6F42" w:rsidRPr="00CA2131" w:rsidRDefault="006B6F42" w:rsidP="006B6F42">
      <w:pPr>
        <w:ind w:right="50"/>
        <w:rPr>
          <w:rFonts w:ascii="Arial Narrow" w:hAnsi="Arial Narrow" w:cs="Calibri"/>
          <w:b/>
          <w:sz w:val="24"/>
          <w:szCs w:val="24"/>
          <w:shd w:val="clear" w:color="auto" w:fill="FFFFFF"/>
          <w:lang w:val="es-ES"/>
        </w:rPr>
      </w:pPr>
    </w:p>
    <w:p w14:paraId="67D37D27" w14:textId="77777777" w:rsidR="006B6F42" w:rsidRPr="00CA2131" w:rsidRDefault="006B6F42" w:rsidP="006B6F42">
      <w:pPr>
        <w:ind w:right="50"/>
        <w:rPr>
          <w:rFonts w:ascii="Arial Narrow" w:hAnsi="Arial Narrow" w:cs="Calibri"/>
          <w:b/>
          <w:sz w:val="24"/>
          <w:szCs w:val="24"/>
          <w:shd w:val="clear" w:color="auto" w:fill="FFFFFF"/>
          <w:lang w:val="es-ES"/>
        </w:rPr>
      </w:pPr>
    </w:p>
    <w:p w14:paraId="37753B27" w14:textId="77777777" w:rsidR="006B6F42" w:rsidRPr="00CA2131" w:rsidRDefault="006B6F42" w:rsidP="006B6F42">
      <w:pPr>
        <w:ind w:right="50"/>
        <w:rPr>
          <w:rFonts w:ascii="Arial Narrow" w:hAnsi="Arial Narrow" w:cs="Calibri"/>
          <w:b/>
          <w:sz w:val="24"/>
          <w:szCs w:val="24"/>
          <w:shd w:val="clear" w:color="auto" w:fill="FFFFFF"/>
          <w:lang w:val="es-ES"/>
        </w:rPr>
      </w:pPr>
    </w:p>
    <w:p w14:paraId="276B15EB" w14:textId="77777777" w:rsidR="006B6F42" w:rsidRPr="00CA2131" w:rsidRDefault="006B6F42" w:rsidP="006B6F42">
      <w:pPr>
        <w:ind w:left="5664" w:right="50" w:firstLine="708"/>
        <w:rPr>
          <w:rFonts w:ascii="Arial Narrow" w:hAnsi="Arial Narrow" w:cs="Calibri"/>
          <w:b/>
          <w:sz w:val="24"/>
          <w:szCs w:val="24"/>
          <w:shd w:val="clear" w:color="auto" w:fill="FFFFFF"/>
          <w:lang w:val="es-ES"/>
        </w:rPr>
      </w:pPr>
      <w:r w:rsidRPr="00CA2131">
        <w:rPr>
          <w:rFonts w:ascii="Arial Narrow" w:hAnsi="Arial Narrow" w:cs="Calibri"/>
          <w:b/>
          <w:sz w:val="24"/>
          <w:szCs w:val="24"/>
          <w:shd w:val="clear" w:color="auto" w:fill="FFFFFF"/>
          <w:lang w:val="es-ES"/>
        </w:rPr>
        <w:t>Camilo Pabón Almanza</w:t>
      </w:r>
    </w:p>
    <w:tbl>
      <w:tblPr>
        <w:tblpPr w:leftFromText="141" w:rightFromText="141" w:vertAnchor="text" w:horzAnchor="margin" w:tblpY="896"/>
        <w:tblW w:w="8814" w:type="dxa"/>
        <w:tblLook w:val="04A0" w:firstRow="1" w:lastRow="0" w:firstColumn="1" w:lastColumn="0" w:noHBand="0" w:noVBand="1"/>
      </w:tblPr>
      <w:tblGrid>
        <w:gridCol w:w="1418"/>
        <w:gridCol w:w="7396"/>
      </w:tblGrid>
      <w:tr w:rsidR="006B6F42" w:rsidRPr="00CA2131" w14:paraId="65558CB8" w14:textId="77777777" w:rsidTr="004A0B9D">
        <w:trPr>
          <w:trHeight w:val="303"/>
        </w:trPr>
        <w:tc>
          <w:tcPr>
            <w:tcW w:w="1418" w:type="dxa"/>
          </w:tcPr>
          <w:p w14:paraId="5234AE8A" w14:textId="77777777" w:rsidR="006B6F42" w:rsidRPr="00CA2131" w:rsidRDefault="006B6F42" w:rsidP="004A0B9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A2131">
              <w:rPr>
                <w:rFonts w:ascii="Arial Narrow" w:hAnsi="Arial Narrow" w:cs="Arial"/>
                <w:b/>
                <w:sz w:val="16"/>
                <w:szCs w:val="16"/>
              </w:rPr>
              <w:t>Proyectó</w:t>
            </w:r>
            <w:r w:rsidRPr="00CA2131"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7396" w:type="dxa"/>
          </w:tcPr>
          <w:p w14:paraId="4A18B9A0" w14:textId="77777777" w:rsidR="006B6F42" w:rsidRPr="00CA2131" w:rsidRDefault="006B6F42" w:rsidP="004A0B9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A2131">
              <w:rPr>
                <w:rFonts w:ascii="Arial Narrow" w:hAnsi="Arial Narrow" w:cs="Arial"/>
                <w:sz w:val="16"/>
                <w:szCs w:val="16"/>
              </w:rPr>
              <w:t>Daniela María Mendoza Sierra- Abogada Contratista Dirección Financiera</w:t>
            </w:r>
          </w:p>
          <w:p w14:paraId="319612A2" w14:textId="77777777" w:rsidR="006B6F42" w:rsidRPr="00CA2131" w:rsidRDefault="006B6F42" w:rsidP="004A0B9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B6F42" w:rsidRPr="009D7FB5" w14:paraId="2655467B" w14:textId="77777777" w:rsidTr="004A0B9D">
        <w:trPr>
          <w:trHeight w:val="210"/>
        </w:trPr>
        <w:tc>
          <w:tcPr>
            <w:tcW w:w="1418" w:type="dxa"/>
          </w:tcPr>
          <w:p w14:paraId="1E044DB5" w14:textId="77777777" w:rsidR="006B6F42" w:rsidRPr="00CA2131" w:rsidRDefault="006B6F42" w:rsidP="004A0B9D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2131">
              <w:rPr>
                <w:rFonts w:ascii="Arial Narrow" w:hAnsi="Arial Narrow" w:cs="Arial"/>
                <w:b/>
                <w:sz w:val="16"/>
                <w:szCs w:val="16"/>
              </w:rPr>
              <w:t>Revisó y aprobó:</w:t>
            </w:r>
          </w:p>
        </w:tc>
        <w:tc>
          <w:tcPr>
            <w:tcW w:w="7396" w:type="dxa"/>
          </w:tcPr>
          <w:p w14:paraId="2625CA95" w14:textId="77777777" w:rsidR="006B6F42" w:rsidRPr="00CA2131" w:rsidRDefault="006B6F42" w:rsidP="004A0B9D">
            <w:pPr>
              <w:ind w:right="284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A2131">
              <w:rPr>
                <w:rFonts w:ascii="Arial Narrow" w:hAnsi="Arial Narrow" w:cs="Arial"/>
                <w:sz w:val="16"/>
                <w:szCs w:val="16"/>
              </w:rPr>
              <w:t>María Pierina González Falla - Secretaria General.</w:t>
            </w:r>
          </w:p>
          <w:p w14:paraId="12D987F4" w14:textId="1475C183" w:rsidR="006B6F42" w:rsidRPr="00CA2131" w:rsidRDefault="00A029A6" w:rsidP="004A0B9D">
            <w:pPr>
              <w:ind w:right="284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Jennifer Suaza Saenz –</w:t>
            </w:r>
            <w:r w:rsidR="006B6F42" w:rsidRPr="00CA213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Abogada Contratista Secretaria General</w:t>
            </w:r>
          </w:p>
          <w:p w14:paraId="3E415C9B" w14:textId="77777777" w:rsidR="006B6F42" w:rsidRPr="00CA2131" w:rsidRDefault="006B6F42" w:rsidP="004A0B9D">
            <w:pPr>
              <w:ind w:right="284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A2131">
              <w:rPr>
                <w:rFonts w:ascii="Arial Narrow" w:hAnsi="Arial Narrow" w:cs="Arial"/>
                <w:sz w:val="16"/>
                <w:szCs w:val="16"/>
              </w:rPr>
              <w:t>Jaime Alberto Rodríguez Marín- Director Financiero.</w:t>
            </w:r>
          </w:p>
          <w:p w14:paraId="6C8A6C4A" w14:textId="77777777" w:rsidR="006B6F42" w:rsidRPr="00AE2DD0" w:rsidRDefault="006B6F42" w:rsidP="004A0B9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A2131">
              <w:rPr>
                <w:rFonts w:ascii="Arial Narrow" w:hAnsi="Arial Narrow" w:cs="Arial"/>
                <w:sz w:val="16"/>
                <w:szCs w:val="16"/>
              </w:rPr>
              <w:t>Diana Paola Suárez Méndez- Coordinadora del Grupo de Análisis y Gestión del Recaudo</w:t>
            </w:r>
          </w:p>
          <w:p w14:paraId="156945C0" w14:textId="77777777" w:rsidR="006B6F42" w:rsidRDefault="006B6F42" w:rsidP="004A0B9D">
            <w:pPr>
              <w:ind w:right="284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02A59BC3" w14:textId="77777777" w:rsidR="006B6F42" w:rsidRPr="009D7FB5" w:rsidRDefault="006B6F42" w:rsidP="004A0B9D">
            <w:pPr>
              <w:ind w:right="284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B6F42" w:rsidRPr="009D7FB5" w14:paraId="4ACED2B1" w14:textId="77777777" w:rsidTr="004A0B9D">
        <w:trPr>
          <w:trHeight w:val="210"/>
        </w:trPr>
        <w:tc>
          <w:tcPr>
            <w:tcW w:w="1418" w:type="dxa"/>
          </w:tcPr>
          <w:p w14:paraId="307DB0D5" w14:textId="77777777" w:rsidR="006B6F42" w:rsidRPr="00157D2D" w:rsidRDefault="006B6F42" w:rsidP="004A0B9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396" w:type="dxa"/>
          </w:tcPr>
          <w:p w14:paraId="60F5A52E" w14:textId="77777777" w:rsidR="006B6F42" w:rsidRDefault="006B6F42" w:rsidP="004A0B9D">
            <w:pPr>
              <w:ind w:right="284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7B75A93D" w14:textId="77777777" w:rsidR="006B6F42" w:rsidRPr="006B6F42" w:rsidRDefault="006B6F42" w:rsidP="006B6F42">
      <w:pPr>
        <w:jc w:val="both"/>
        <w:rPr>
          <w:rFonts w:ascii="Arial Narrow" w:hAnsi="Arial Narrow" w:cs="Calibri"/>
          <w:szCs w:val="24"/>
          <w:shd w:val="clear" w:color="auto" w:fill="FFFFFF"/>
        </w:rPr>
      </w:pPr>
    </w:p>
    <w:p w14:paraId="6BEA7A4D" w14:textId="77777777" w:rsidR="00EE6E1C" w:rsidRPr="00EE6E1C" w:rsidRDefault="00EE6E1C" w:rsidP="00EE6E1C">
      <w:pPr>
        <w:pStyle w:val="Prrafodelista"/>
        <w:ind w:left="360" w:right="50"/>
        <w:jc w:val="both"/>
        <w:rPr>
          <w:rFonts w:ascii="Arial Narrow" w:hAnsi="Arial Narrow" w:cs="Calibri"/>
          <w:szCs w:val="24"/>
          <w:shd w:val="clear" w:color="auto" w:fill="FFFFFF"/>
        </w:rPr>
      </w:pPr>
    </w:p>
    <w:p w14:paraId="1D62C09B" w14:textId="77777777" w:rsidR="00EE6E1C" w:rsidRDefault="00EE6E1C" w:rsidP="00EE6E1C">
      <w:pPr>
        <w:pStyle w:val="Prrafodelista"/>
        <w:ind w:left="360" w:right="50"/>
        <w:jc w:val="both"/>
        <w:rPr>
          <w:rFonts w:ascii="Arial Narrow" w:hAnsi="Arial Narrow" w:cs="Calibri"/>
          <w:szCs w:val="24"/>
          <w:shd w:val="clear" w:color="auto" w:fill="FFFFFF"/>
        </w:rPr>
      </w:pPr>
    </w:p>
    <w:p w14:paraId="7083ABAF" w14:textId="77777777" w:rsidR="00EE6E1C" w:rsidRDefault="00EE6E1C" w:rsidP="00EE6E1C">
      <w:pPr>
        <w:pStyle w:val="Prrafodelista"/>
        <w:ind w:left="360" w:right="50"/>
        <w:jc w:val="both"/>
        <w:rPr>
          <w:rFonts w:ascii="Arial Narrow" w:hAnsi="Arial Narrow" w:cs="Calibri"/>
          <w:szCs w:val="24"/>
          <w:shd w:val="clear" w:color="auto" w:fill="FFFFFF"/>
        </w:rPr>
      </w:pPr>
    </w:p>
    <w:p w14:paraId="065E4D51" w14:textId="77777777" w:rsidR="00EE6E1C" w:rsidRPr="00B23585" w:rsidRDefault="00EE6E1C" w:rsidP="00EE6E1C">
      <w:pPr>
        <w:pStyle w:val="Prrafodelista"/>
        <w:ind w:left="360" w:right="50"/>
        <w:jc w:val="both"/>
        <w:rPr>
          <w:rFonts w:ascii="Arial Narrow" w:hAnsi="Arial Narrow" w:cs="Calibri"/>
          <w:szCs w:val="24"/>
          <w:shd w:val="clear" w:color="auto" w:fill="FFFFFF"/>
        </w:rPr>
      </w:pPr>
    </w:p>
    <w:p w14:paraId="6AC8CFE6" w14:textId="77777777" w:rsidR="00B23585" w:rsidRDefault="00B23585" w:rsidP="00B23585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</w:p>
    <w:p w14:paraId="34DCA297" w14:textId="77777777" w:rsidR="00B23585" w:rsidRDefault="00B23585" w:rsidP="00B23585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</w:p>
    <w:p w14:paraId="0F565466" w14:textId="77777777" w:rsidR="00582FD8" w:rsidRDefault="00582FD8"/>
    <w:sectPr w:rsidR="00582FD8" w:rsidSect="00405A8D">
      <w:headerReference w:type="default" r:id="rId8"/>
      <w:headerReference w:type="first" r:id="rId9"/>
      <w:pgSz w:w="12242" w:h="18722" w:code="14"/>
      <w:pgMar w:top="2127" w:right="1418" w:bottom="1702" w:left="1418" w:header="851" w:footer="794" w:gutter="0"/>
      <w:pgBorders w:zOrder="back" w:offsetFrom="page"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BE4FF" w14:textId="77777777" w:rsidR="00065530" w:rsidRDefault="00065530" w:rsidP="00B23585">
      <w:r>
        <w:separator/>
      </w:r>
    </w:p>
  </w:endnote>
  <w:endnote w:type="continuationSeparator" w:id="0">
    <w:p w14:paraId="0FF51C7F" w14:textId="77777777" w:rsidR="00065530" w:rsidRDefault="00065530" w:rsidP="00B2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014A0" w14:textId="77777777" w:rsidR="00065530" w:rsidRDefault="00065530" w:rsidP="00B23585">
      <w:r>
        <w:separator/>
      </w:r>
    </w:p>
  </w:footnote>
  <w:footnote w:type="continuationSeparator" w:id="0">
    <w:p w14:paraId="51D575E4" w14:textId="77777777" w:rsidR="00065530" w:rsidRDefault="00065530" w:rsidP="00B23585">
      <w:r>
        <w:continuationSeparator/>
      </w:r>
    </w:p>
  </w:footnote>
  <w:footnote w:id="1">
    <w:p w14:paraId="3367CD76" w14:textId="5D291FDE" w:rsidR="00534AC3" w:rsidRPr="00534AC3" w:rsidRDefault="00534AC3" w:rsidP="00534AC3">
      <w:pPr>
        <w:pStyle w:val="Textonotapie"/>
        <w:jc w:val="both"/>
        <w:rPr>
          <w:rFonts w:ascii="Arial Narrow" w:hAnsi="Arial Narrow"/>
          <w:sz w:val="18"/>
        </w:rPr>
      </w:pPr>
      <w:r w:rsidRPr="00534AC3">
        <w:rPr>
          <w:rStyle w:val="Refdenotaalpie"/>
          <w:rFonts w:ascii="Arial Narrow" w:hAnsi="Arial Narrow"/>
          <w:sz w:val="18"/>
          <w:szCs w:val="18"/>
        </w:rPr>
        <w:footnoteRef/>
      </w:r>
      <w:r w:rsidRPr="00534AC3">
        <w:rPr>
          <w:rFonts w:ascii="Arial Narrow" w:hAnsi="Arial Narrow"/>
          <w:sz w:val="18"/>
          <w:szCs w:val="18"/>
        </w:rPr>
        <w:t>CONSEJO DE ESTADO</w:t>
      </w:r>
      <w:r>
        <w:rPr>
          <w:rFonts w:ascii="Arial Narrow" w:hAnsi="Arial Narrow"/>
          <w:sz w:val="18"/>
          <w:szCs w:val="18"/>
        </w:rPr>
        <w:t>, SALA D</w:t>
      </w:r>
      <w:r w:rsidRPr="00534AC3">
        <w:rPr>
          <w:rFonts w:ascii="Arial Narrow" w:hAnsi="Arial Narrow"/>
          <w:sz w:val="18"/>
          <w:szCs w:val="18"/>
        </w:rPr>
        <w:t xml:space="preserve">E </w:t>
      </w:r>
      <w:r>
        <w:rPr>
          <w:rFonts w:ascii="Arial Narrow" w:hAnsi="Arial Narrow"/>
          <w:sz w:val="18"/>
          <w:szCs w:val="18"/>
        </w:rPr>
        <w:t>L</w:t>
      </w:r>
      <w:r w:rsidRPr="00534AC3">
        <w:rPr>
          <w:rFonts w:ascii="Arial Narrow" w:hAnsi="Arial Narrow"/>
          <w:sz w:val="18"/>
          <w:szCs w:val="18"/>
        </w:rPr>
        <w:t>O CONTENCIOSO ADMINISTRATIVO</w:t>
      </w:r>
      <w:r>
        <w:rPr>
          <w:rFonts w:ascii="Arial Narrow" w:hAnsi="Arial Narrow"/>
          <w:sz w:val="18"/>
          <w:szCs w:val="18"/>
        </w:rPr>
        <w:t>,</w:t>
      </w:r>
      <w:r w:rsidRPr="00534AC3">
        <w:rPr>
          <w:rFonts w:ascii="Arial Narrow" w:hAnsi="Arial Narrow"/>
          <w:sz w:val="18"/>
          <w:szCs w:val="18"/>
        </w:rPr>
        <w:t xml:space="preserve"> SALA VEINTIDÓS ESPECIAL DE DECISIÓN</w:t>
      </w:r>
      <w:r w:rsidRPr="00534AC3">
        <w:rPr>
          <w:rFonts w:ascii="Arial Narrow" w:hAnsi="Arial Narrow"/>
          <w:sz w:val="18"/>
        </w:rPr>
        <w:t xml:space="preserve">, </w:t>
      </w:r>
      <w:r w:rsidRPr="00534AC3">
        <w:rPr>
          <w:rFonts w:ascii="Arial Narrow" w:hAnsi="Arial Narrow"/>
          <w:sz w:val="18"/>
          <w:lang w:val="es-CO"/>
        </w:rPr>
        <w:t xml:space="preserve">Radicado No. </w:t>
      </w:r>
      <w:r w:rsidRPr="00534AC3">
        <w:rPr>
          <w:rFonts w:ascii="Arial Narrow" w:hAnsi="Arial Narrow"/>
          <w:sz w:val="18"/>
        </w:rPr>
        <w:t>11001-03-15-000-2020-01664-00, Magist</w:t>
      </w:r>
      <w:r>
        <w:rPr>
          <w:rFonts w:ascii="Arial Narrow" w:hAnsi="Arial Narrow"/>
          <w:sz w:val="18"/>
        </w:rPr>
        <w:t>r</w:t>
      </w:r>
      <w:r w:rsidRPr="00534AC3">
        <w:rPr>
          <w:rFonts w:ascii="Arial Narrow" w:hAnsi="Arial Narrow"/>
          <w:sz w:val="18"/>
        </w:rPr>
        <w:t>ado Ponente: LUIS ALBERTO ÁLVAREZ PARRA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C79B" w14:textId="0D7142CC" w:rsidR="00991E4A" w:rsidRPr="009A3583" w:rsidRDefault="00154353" w:rsidP="00EE23E2">
    <w:pPr>
      <w:pStyle w:val="Encabezado"/>
      <w:ind w:right="-91"/>
      <w:jc w:val="center"/>
      <w:rPr>
        <w:rFonts w:ascii="Arial Narrow" w:hAnsi="Arial Narrow" w:cs="Arial"/>
        <w:u w:val="single"/>
      </w:rPr>
    </w:pPr>
    <w:r w:rsidRPr="009A3583">
      <w:rPr>
        <w:rFonts w:ascii="Arial Narrow" w:hAnsi="Arial Narrow" w:cs="Arial"/>
        <w:noProof/>
      </w:rPr>
      <w:t xml:space="preserve">RESOLUCIÓN NÚMERO </w:t>
    </w:r>
    <w:r w:rsidRPr="009A3583">
      <w:rPr>
        <w:rFonts w:ascii="Arial Narrow" w:hAnsi="Arial Narrow" w:cs="Arial"/>
        <w:b/>
      </w:rPr>
      <w:tab/>
    </w:r>
    <w:r w:rsidRPr="009A3583">
      <w:rPr>
        <w:rFonts w:ascii="Arial Narrow" w:hAnsi="Arial Narrow" w:cs="Arial"/>
        <w:b/>
      </w:rPr>
      <w:tab/>
    </w:r>
    <w:r w:rsidRPr="009A3583">
      <w:rPr>
        <w:rFonts w:ascii="Arial Narrow" w:hAnsi="Arial Narrow" w:cs="Arial"/>
      </w:rPr>
      <w:t xml:space="preserve">HOJA No  </w:t>
    </w:r>
    <w:r w:rsidRPr="009A3583">
      <w:rPr>
        <w:rStyle w:val="Nmerodepgina"/>
        <w:rFonts w:ascii="Arial Narrow" w:hAnsi="Arial Narrow" w:cs="Arial"/>
        <w:u w:val="single"/>
      </w:rPr>
      <w:fldChar w:fldCharType="begin"/>
    </w:r>
    <w:r w:rsidRPr="009A3583">
      <w:rPr>
        <w:rStyle w:val="Nmerodepgina"/>
        <w:rFonts w:ascii="Arial Narrow" w:hAnsi="Arial Narrow" w:cs="Arial"/>
        <w:u w:val="single"/>
      </w:rPr>
      <w:instrText xml:space="preserve"> PAGE </w:instrText>
    </w:r>
    <w:r w:rsidRPr="009A3583">
      <w:rPr>
        <w:rStyle w:val="Nmerodepgina"/>
        <w:rFonts w:ascii="Arial Narrow" w:hAnsi="Arial Narrow" w:cs="Arial"/>
        <w:u w:val="single"/>
      </w:rPr>
      <w:fldChar w:fldCharType="separate"/>
    </w:r>
    <w:r w:rsidR="001F67FB">
      <w:rPr>
        <w:rStyle w:val="Nmerodepgina"/>
        <w:rFonts w:ascii="Arial Narrow" w:hAnsi="Arial Narrow" w:cs="Arial"/>
        <w:noProof/>
        <w:u w:val="single"/>
      </w:rPr>
      <w:t>3</w:t>
    </w:r>
    <w:r w:rsidRPr="009A3583">
      <w:rPr>
        <w:rStyle w:val="Nmerodepgina"/>
        <w:rFonts w:ascii="Arial Narrow" w:hAnsi="Arial Narrow" w:cs="Arial"/>
        <w:u w:val="single"/>
      </w:rPr>
      <w:fldChar w:fldCharType="end"/>
    </w:r>
  </w:p>
  <w:p w14:paraId="75FF6451" w14:textId="77777777" w:rsidR="00991E4A" w:rsidRPr="009A3583" w:rsidRDefault="00065530" w:rsidP="00991E4A">
    <w:pPr>
      <w:pStyle w:val="Encabezado"/>
      <w:ind w:right="-91"/>
      <w:jc w:val="center"/>
      <w:rPr>
        <w:rFonts w:ascii="Arial Narrow" w:hAnsi="Arial Narrow" w:cs="Arial"/>
      </w:rPr>
    </w:pPr>
  </w:p>
  <w:p w14:paraId="61B85D8D" w14:textId="296850D5" w:rsidR="00B23585" w:rsidRDefault="00B23585" w:rsidP="00BA3A02">
    <w:pPr>
      <w:pBdr>
        <w:bottom w:val="single" w:sz="12" w:space="1" w:color="auto"/>
      </w:pBdr>
      <w:autoSpaceDE w:val="0"/>
      <w:autoSpaceDN w:val="0"/>
      <w:adjustRightInd w:val="0"/>
      <w:jc w:val="center"/>
      <w:rPr>
        <w:rFonts w:ascii="Arial Narrow" w:hAnsi="Arial Narrow" w:cs="Arial"/>
        <w:sz w:val="22"/>
        <w:szCs w:val="22"/>
        <w:lang w:val="es-ES"/>
      </w:rPr>
    </w:pPr>
    <w:r w:rsidRPr="00247ACD">
      <w:rPr>
        <w:rFonts w:ascii="Arial Narrow" w:hAnsi="Arial Narrow" w:cs="Arial"/>
        <w:sz w:val="22"/>
        <w:szCs w:val="22"/>
        <w:lang w:val="es-ES"/>
      </w:rPr>
      <w:t xml:space="preserve">Por la cual se prorroga el término establecido en la Resolución número </w:t>
    </w:r>
    <w:r w:rsidR="006B6F42" w:rsidRPr="00247ACD">
      <w:rPr>
        <w:rFonts w:ascii="Arial Narrow" w:hAnsi="Arial Narrow" w:cs="Calibri"/>
        <w:sz w:val="22"/>
        <w:szCs w:val="28"/>
        <w:shd w:val="clear" w:color="auto" w:fill="FFFFFF"/>
      </w:rPr>
      <w:t xml:space="preserve">6257 del 2 de abril de 2020 </w:t>
    </w:r>
    <w:r w:rsidRPr="00247ACD">
      <w:rPr>
        <w:rFonts w:ascii="Arial Narrow" w:hAnsi="Arial Narrow" w:cs="Arial"/>
        <w:sz w:val="22"/>
        <w:szCs w:val="22"/>
        <w:lang w:val="es-ES"/>
      </w:rPr>
      <w:t>para el pago de la Contribución Especial de Vigilancia de la vigencia fiscal 2020.</w:t>
    </w:r>
  </w:p>
  <w:p w14:paraId="21F1BD18" w14:textId="77777777" w:rsidR="00247ACD" w:rsidRPr="00247ACD" w:rsidRDefault="00247ACD" w:rsidP="00BA3A02">
    <w:pPr>
      <w:pBdr>
        <w:bottom w:val="single" w:sz="12" w:space="1" w:color="auto"/>
      </w:pBdr>
      <w:autoSpaceDE w:val="0"/>
      <w:autoSpaceDN w:val="0"/>
      <w:adjustRightInd w:val="0"/>
      <w:jc w:val="center"/>
      <w:rPr>
        <w:rFonts w:ascii="Arial Narrow" w:hAnsi="Arial Narrow" w:cs="Arial"/>
        <w:sz w:val="22"/>
        <w:szCs w:val="22"/>
      </w:rPr>
    </w:pPr>
  </w:p>
  <w:p w14:paraId="78E9DA3D" w14:textId="77777777" w:rsidR="00991E4A" w:rsidRDefault="0006553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3865B" w14:textId="77777777" w:rsidR="00405A8D" w:rsidRDefault="00405A8D" w:rsidP="00991E4A">
    <w:pPr>
      <w:pStyle w:val="Encabezado"/>
      <w:rPr>
        <w:rFonts w:ascii="Arial Narrow" w:hAnsi="Arial Narrow"/>
        <w:sz w:val="14"/>
      </w:rPr>
    </w:pPr>
  </w:p>
  <w:p w14:paraId="7DD64831" w14:textId="77777777" w:rsidR="00405A8D" w:rsidRDefault="00405A8D" w:rsidP="00991E4A">
    <w:pPr>
      <w:pStyle w:val="Encabezado"/>
      <w:rPr>
        <w:rFonts w:ascii="Arial Narrow" w:hAnsi="Arial Narrow"/>
        <w:sz w:val="14"/>
      </w:rPr>
    </w:pPr>
  </w:p>
  <w:p w14:paraId="209C78D0" w14:textId="77777777" w:rsidR="00405A8D" w:rsidRDefault="00405A8D" w:rsidP="00991E4A">
    <w:pPr>
      <w:pStyle w:val="Encabezado"/>
      <w:rPr>
        <w:rFonts w:ascii="Arial Narrow" w:hAnsi="Arial Narrow"/>
        <w:sz w:val="14"/>
      </w:rPr>
    </w:pPr>
  </w:p>
  <w:p w14:paraId="4013BDFE" w14:textId="3A2F3DB3" w:rsidR="00991E4A" w:rsidRPr="005265E8" w:rsidRDefault="00065530" w:rsidP="00991E4A">
    <w:pPr>
      <w:pStyle w:val="Encabezado"/>
      <w:rPr>
        <w:rFonts w:ascii="Arial Narrow" w:hAnsi="Arial Narrow"/>
        <w:sz w:val="14"/>
      </w:rPr>
    </w:pPr>
    <w:r>
      <w:rPr>
        <w:rFonts w:ascii="Arial Narrow" w:hAnsi="Arial Narrow"/>
        <w:noProof/>
        <w:lang w:val="es-CO" w:eastAsia="es-CO"/>
      </w:rPr>
      <w:object w:dxaOrig="1440" w:dyaOrig="1440" w14:anchorId="25A74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82.95pt;margin-top:.85pt;width:104.25pt;height:57pt;z-index:251659264;visibility:visible;mso-wrap-edited:f;mso-width-percent:0;mso-height-percent:0;mso-width-percent:0;mso-height-percent:0" o:allowincell="f">
          <v:imagedata r:id="rId1" o:title=""/>
          <w10:wrap type="topAndBottom"/>
        </v:shape>
        <o:OLEObject Type="Embed" ProgID="Word.Picture.8" ShapeID="_x0000_s2049" DrawAspect="Content" ObjectID="_1670918405" r:id="rId2"/>
      </w:object>
    </w:r>
  </w:p>
  <w:p w14:paraId="506C93F0" w14:textId="556260FA" w:rsidR="00991E4A" w:rsidRPr="005265E8" w:rsidRDefault="00065530" w:rsidP="00991E4A">
    <w:pPr>
      <w:pStyle w:val="Encabezado"/>
      <w:rPr>
        <w:rFonts w:ascii="Arial Narrow" w:hAnsi="Arial Narrow"/>
      </w:rPr>
    </w:pPr>
  </w:p>
  <w:p w14:paraId="70742FC8" w14:textId="77777777" w:rsidR="00991E4A" w:rsidRPr="005265E8" w:rsidRDefault="00065530">
    <w:pPr>
      <w:pStyle w:val="Encabezado"/>
      <w:jc w:val="center"/>
      <w:rPr>
        <w:rFonts w:ascii="Arial Narrow" w:hAnsi="Arial Narrow"/>
      </w:rPr>
    </w:pPr>
  </w:p>
  <w:p w14:paraId="345A0471" w14:textId="77777777" w:rsidR="00991E4A" w:rsidRDefault="00065530" w:rsidP="00991E4A">
    <w:pPr>
      <w:pStyle w:val="Encabezado"/>
      <w:spacing w:line="276" w:lineRule="auto"/>
      <w:jc w:val="center"/>
      <w:rPr>
        <w:rFonts w:ascii="Arial Narrow" w:hAnsi="Arial Narrow" w:cs="Arial"/>
        <w:b/>
        <w:sz w:val="24"/>
        <w:szCs w:val="24"/>
      </w:rPr>
    </w:pPr>
  </w:p>
  <w:p w14:paraId="7C693565" w14:textId="77777777" w:rsidR="00991E4A" w:rsidRDefault="00065530" w:rsidP="00991E4A">
    <w:pPr>
      <w:pStyle w:val="Encabezado"/>
      <w:spacing w:line="276" w:lineRule="auto"/>
      <w:jc w:val="center"/>
      <w:rPr>
        <w:rFonts w:ascii="Arial Narrow" w:hAnsi="Arial Narrow" w:cs="Arial"/>
        <w:b/>
        <w:sz w:val="24"/>
        <w:szCs w:val="24"/>
      </w:rPr>
    </w:pPr>
  </w:p>
  <w:p w14:paraId="050452FA" w14:textId="77777777" w:rsidR="00991E4A" w:rsidRPr="005265E8" w:rsidRDefault="00154353" w:rsidP="00991E4A">
    <w:pPr>
      <w:pStyle w:val="Encabezado"/>
      <w:spacing w:line="276" w:lineRule="auto"/>
      <w:jc w:val="center"/>
      <w:rPr>
        <w:rFonts w:ascii="Arial Narrow" w:hAnsi="Arial Narrow" w:cs="Arial"/>
        <w:b/>
        <w:sz w:val="24"/>
        <w:szCs w:val="24"/>
      </w:rPr>
    </w:pPr>
    <w:r w:rsidRPr="005265E8">
      <w:rPr>
        <w:rFonts w:ascii="Arial Narrow" w:hAnsi="Arial Narrow" w:cs="Arial"/>
        <w:b/>
        <w:sz w:val="24"/>
        <w:szCs w:val="24"/>
      </w:rPr>
      <w:t>MINISTERIO DE TRANSPORTE</w:t>
    </w:r>
  </w:p>
  <w:p w14:paraId="11EFF799" w14:textId="77777777" w:rsidR="00991E4A" w:rsidRPr="005265E8" w:rsidRDefault="00154353" w:rsidP="00991E4A">
    <w:pPr>
      <w:pStyle w:val="Encabezado"/>
      <w:spacing w:line="276" w:lineRule="auto"/>
      <w:jc w:val="center"/>
      <w:rPr>
        <w:rFonts w:ascii="Arial Narrow" w:hAnsi="Arial Narrow" w:cs="Arial"/>
        <w:b/>
        <w:sz w:val="24"/>
        <w:szCs w:val="24"/>
      </w:rPr>
    </w:pPr>
    <w:r w:rsidRPr="005265E8">
      <w:rPr>
        <w:rFonts w:ascii="Arial Narrow" w:hAnsi="Arial Narrow" w:cs="Arial"/>
        <w:b/>
        <w:sz w:val="24"/>
        <w:szCs w:val="24"/>
      </w:rPr>
      <w:t>SUPERINTENDENCIA DE TRANSPORTE</w:t>
    </w:r>
  </w:p>
  <w:p w14:paraId="3DFA5397" w14:textId="77777777" w:rsidR="00991E4A" w:rsidRPr="005265E8" w:rsidRDefault="00065530" w:rsidP="00991E4A">
    <w:pPr>
      <w:pStyle w:val="Encabezado"/>
      <w:spacing w:line="276" w:lineRule="auto"/>
      <w:rPr>
        <w:rFonts w:ascii="Arial Narrow" w:hAnsi="Arial Narrow" w:cs="Arial"/>
        <w:b/>
        <w:sz w:val="24"/>
        <w:szCs w:val="24"/>
      </w:rPr>
    </w:pPr>
  </w:p>
  <w:p w14:paraId="227A2A02" w14:textId="77777777" w:rsidR="00991E4A" w:rsidRPr="005265E8" w:rsidRDefault="00154353" w:rsidP="00991E4A">
    <w:pPr>
      <w:pStyle w:val="Encabezado"/>
      <w:spacing w:line="276" w:lineRule="auto"/>
      <w:rPr>
        <w:rFonts w:ascii="Arial Narrow" w:hAnsi="Arial Narrow"/>
        <w:sz w:val="24"/>
      </w:rPr>
    </w:pPr>
    <w:r w:rsidRPr="005265E8">
      <w:rPr>
        <w:rFonts w:ascii="Arial Narrow" w:hAnsi="Arial Narrow"/>
        <w:sz w:val="24"/>
      </w:rPr>
      <w:t>RESOLUCIÓN NÚMERO</w:t>
    </w:r>
    <w:r w:rsidRPr="005265E8">
      <w:rPr>
        <w:rFonts w:ascii="Arial Narrow" w:hAnsi="Arial Narrow"/>
        <w:sz w:val="24"/>
      </w:rPr>
      <w:tab/>
    </w:r>
  </w:p>
  <w:p w14:paraId="43AA58FB" w14:textId="77777777" w:rsidR="00991E4A" w:rsidRPr="00C94895" w:rsidRDefault="00154353" w:rsidP="00C94895">
    <w:pPr>
      <w:pStyle w:val="Encabezado"/>
      <w:rPr>
        <w:rFonts w:ascii="Arial Narrow" w:hAnsi="Arial Narrow"/>
        <w:b/>
        <w:sz w:val="24"/>
      </w:rPr>
    </w:pPr>
    <w:r w:rsidRPr="005265E8">
      <w:rPr>
        <w:rFonts w:ascii="Arial Narrow" w:hAnsi="Arial Narrow"/>
        <w:sz w:val="24"/>
      </w:rPr>
      <w:tab/>
    </w:r>
    <w:r w:rsidRPr="005265E8">
      <w:rPr>
        <w:rFonts w:ascii="Arial Narrow" w:hAnsi="Arial Narrow"/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93C"/>
    <w:multiLevelType w:val="multilevel"/>
    <w:tmpl w:val="B90227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0143204C"/>
    <w:multiLevelType w:val="multilevel"/>
    <w:tmpl w:val="8892DC7C"/>
    <w:lvl w:ilvl="0">
      <w:start w:val="6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2" w15:restartNumberingAfterBreak="0">
    <w:nsid w:val="03092D9E"/>
    <w:multiLevelType w:val="hybridMultilevel"/>
    <w:tmpl w:val="606A38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2F34"/>
    <w:multiLevelType w:val="multilevel"/>
    <w:tmpl w:val="93A00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B16653"/>
    <w:multiLevelType w:val="multilevel"/>
    <w:tmpl w:val="DB1C4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41D77F3"/>
    <w:multiLevelType w:val="hybridMultilevel"/>
    <w:tmpl w:val="37588612"/>
    <w:lvl w:ilvl="0" w:tplc="EFB23450">
      <w:start w:val="1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47DFB"/>
    <w:multiLevelType w:val="hybridMultilevel"/>
    <w:tmpl w:val="10AE29B2"/>
    <w:lvl w:ilvl="0" w:tplc="987E9FB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A470F"/>
    <w:multiLevelType w:val="multilevel"/>
    <w:tmpl w:val="1D103B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8" w15:restartNumberingAfterBreak="0">
    <w:nsid w:val="57995ADF"/>
    <w:multiLevelType w:val="hybridMultilevel"/>
    <w:tmpl w:val="DC124BE6"/>
    <w:lvl w:ilvl="0" w:tplc="3766C34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2366E9A"/>
    <w:multiLevelType w:val="hybridMultilevel"/>
    <w:tmpl w:val="ADCE5FAE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85"/>
    <w:rsid w:val="00065530"/>
    <w:rsid w:val="000E1B41"/>
    <w:rsid w:val="000F6704"/>
    <w:rsid w:val="001471E8"/>
    <w:rsid w:val="00154353"/>
    <w:rsid w:val="001678E8"/>
    <w:rsid w:val="001F0C9C"/>
    <w:rsid w:val="001F67FB"/>
    <w:rsid w:val="00247ACD"/>
    <w:rsid w:val="002E37F7"/>
    <w:rsid w:val="00310115"/>
    <w:rsid w:val="00370EEB"/>
    <w:rsid w:val="003857D6"/>
    <w:rsid w:val="003B1FE9"/>
    <w:rsid w:val="003C29EB"/>
    <w:rsid w:val="00405A8D"/>
    <w:rsid w:val="00464897"/>
    <w:rsid w:val="00486C38"/>
    <w:rsid w:val="00521FD1"/>
    <w:rsid w:val="00534AC3"/>
    <w:rsid w:val="0053575A"/>
    <w:rsid w:val="00570ED7"/>
    <w:rsid w:val="00582FD8"/>
    <w:rsid w:val="005A540F"/>
    <w:rsid w:val="005F1D26"/>
    <w:rsid w:val="006B6F42"/>
    <w:rsid w:val="00822969"/>
    <w:rsid w:val="008240A7"/>
    <w:rsid w:val="00841869"/>
    <w:rsid w:val="00890205"/>
    <w:rsid w:val="008E3292"/>
    <w:rsid w:val="00920EA0"/>
    <w:rsid w:val="00A029A6"/>
    <w:rsid w:val="00A15938"/>
    <w:rsid w:val="00A2515C"/>
    <w:rsid w:val="00A500BB"/>
    <w:rsid w:val="00A80057"/>
    <w:rsid w:val="00B23585"/>
    <w:rsid w:val="00B36226"/>
    <w:rsid w:val="00C0620A"/>
    <w:rsid w:val="00C222CA"/>
    <w:rsid w:val="00C81608"/>
    <w:rsid w:val="00E7551D"/>
    <w:rsid w:val="00EE6E1C"/>
    <w:rsid w:val="00EF1D77"/>
    <w:rsid w:val="00F15C77"/>
    <w:rsid w:val="00FD2971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E4BA19"/>
  <w15:docId w15:val="{DCCF1E68-A20B-488D-8A3C-33B373D8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B23585"/>
  </w:style>
  <w:style w:type="paragraph" w:styleId="Encabezado">
    <w:name w:val="header"/>
    <w:basedOn w:val="Normal"/>
    <w:link w:val="EncabezadoCar"/>
    <w:rsid w:val="00B235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35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23585"/>
    <w:pPr>
      <w:ind w:left="720"/>
      <w:contextualSpacing/>
    </w:pPr>
    <w:rPr>
      <w:rFonts w:ascii="Courier" w:hAnsi="Courier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235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358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35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2358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5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2358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5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585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235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5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62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6226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CC3C-CF33-408D-8A21-E37AA583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mendoza</dc:creator>
  <cp:lastModifiedBy>Diana Paola Suarez Mendez</cp:lastModifiedBy>
  <cp:revision>2</cp:revision>
  <dcterms:created xsi:type="dcterms:W3CDTF">2020-12-31T16:14:00Z</dcterms:created>
  <dcterms:modified xsi:type="dcterms:W3CDTF">2020-12-31T16:14:00Z</dcterms:modified>
</cp:coreProperties>
</file>